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26" w:rsidRPr="008C02BB" w:rsidRDefault="00357426" w:rsidP="00357426">
      <w:pPr>
        <w:jc w:val="center"/>
        <w:textAlignment w:val="baseline"/>
      </w:pPr>
      <w:r w:rsidRPr="008C02BB">
        <w:rPr>
          <w:i/>
          <w:iCs/>
        </w:rPr>
        <w:t>Religion</w:t>
      </w:r>
      <w:r w:rsidRPr="008C02BB">
        <w:t xml:space="preserve"> (1985) 15, 29–51</w:t>
      </w:r>
      <w:commentRangeStart w:id="0"/>
      <w:r w:rsidR="00B76AD7" w:rsidRPr="008C02BB">
        <w:rPr>
          <w:rStyle w:val="FootnoteReference"/>
        </w:rPr>
        <w:footnoteReference w:id="1"/>
      </w:r>
      <w:commentRangeEnd w:id="0"/>
      <w:r w:rsidR="00801B9E">
        <w:rPr>
          <w:rStyle w:val="CommentReference"/>
        </w:rPr>
        <w:commentReference w:id="0"/>
      </w:r>
    </w:p>
    <w:p w:rsidR="00357426" w:rsidRDefault="00B76AD7" w:rsidP="00426A8A">
      <w:pPr>
        <w:pStyle w:val="Myheadc"/>
      </w:pPr>
      <w:r>
        <w:rPr>
          <w:lang w:val="en-US"/>
        </w:rPr>
        <w:t>Western Islamic scholars</w:t>
      </w:r>
      <w:bookmarkStart w:id="1" w:name="_GoBack"/>
      <w:bookmarkEnd w:id="1"/>
      <w:r>
        <w:br/>
      </w:r>
      <w:r>
        <w:rPr>
          <w:lang w:val="en-US"/>
        </w:rPr>
        <w:t>and Bahá</w:t>
      </w:r>
      <w:r>
        <w:t>’</w:t>
      </w:r>
      <w:r>
        <w:rPr>
          <w:lang w:val="en-US"/>
        </w:rPr>
        <w:t>í origins</w:t>
      </w:r>
    </w:p>
    <w:p w:rsidR="00357426" w:rsidRPr="00B76AD7" w:rsidRDefault="00357426" w:rsidP="00B76AD7">
      <w:pPr>
        <w:jc w:val="center"/>
      </w:pPr>
      <w:r w:rsidRPr="00B76AD7">
        <w:t>Muḥammad Afnán and William S. Hatcher</w:t>
      </w:r>
    </w:p>
    <w:p w:rsidR="00357426" w:rsidRDefault="00B76AD7" w:rsidP="00B76AD7">
      <w:pPr>
        <w:pStyle w:val="Myhead"/>
      </w:pPr>
      <w:r>
        <w:rPr>
          <w:lang w:val="en-US"/>
        </w:rPr>
        <w:t>Introduction</w:t>
      </w:r>
      <w:r w:rsidR="00BF3734" w:rsidRPr="00BF3734">
        <w:rPr>
          <w:rStyle w:val="EndnoteReference"/>
          <w:color w:val="FFFFFF" w:themeColor="background1"/>
        </w:rPr>
        <w:endnoteReference w:customMarkFollows="1" w:id="1"/>
        <w:t>.</w:t>
      </w:r>
    </w:p>
    <w:p w:rsidR="00357426" w:rsidRPr="005316C8" w:rsidRDefault="00357426" w:rsidP="00300806">
      <w:pPr>
        <w:pStyle w:val="Text"/>
      </w:pPr>
      <w:r w:rsidRPr="005316C8">
        <w:t>In 1974, Denis MacEoin published an article entitled ‘Oriental Scholarship</w:t>
      </w:r>
      <w:r w:rsidR="00300806">
        <w:t xml:space="preserve"> </w:t>
      </w:r>
      <w:r w:rsidRPr="005316C8">
        <w:t>and the Bahá’í Faith’</w:t>
      </w:r>
      <w:r w:rsidR="00B76AD7">
        <w:rPr>
          <w:rStyle w:val="EndnoteReference"/>
        </w:rPr>
        <w:endnoteReference w:id="2"/>
      </w:r>
      <w:r w:rsidRPr="005316C8">
        <w:t xml:space="preserve"> in which he deplored the lack of attention given</w:t>
      </w:r>
      <w:r w:rsidR="00300806">
        <w:t xml:space="preserve"> </w:t>
      </w:r>
      <w:r w:rsidRPr="005316C8">
        <w:t>during the preceding decades to the Bahá’í Faith by Western scholars of</w:t>
      </w:r>
      <w:r w:rsidR="00300806">
        <w:t xml:space="preserve"> </w:t>
      </w:r>
      <w:r w:rsidRPr="005316C8">
        <w:t>Eastern religions.</w:t>
      </w:r>
      <w:r w:rsidR="00B76AD7">
        <w:t xml:space="preserve"> </w:t>
      </w:r>
      <w:r w:rsidRPr="005316C8">
        <w:t xml:space="preserve"> He pointed out, among other things, that the Bahá’í Faith,</w:t>
      </w:r>
      <w:r w:rsidR="00300806">
        <w:t xml:space="preserve"> </w:t>
      </w:r>
      <w:r w:rsidRPr="005316C8">
        <w:t>having originated at a critical period in the recent history of the Islamic</w:t>
      </w:r>
      <w:r w:rsidR="00300806">
        <w:t xml:space="preserve"> </w:t>
      </w:r>
      <w:r w:rsidRPr="005316C8">
        <w:t>world, and having since exhibited substantial expansion, growth, and</w:t>
      </w:r>
      <w:r w:rsidR="00300806">
        <w:t xml:space="preserve"> </w:t>
      </w:r>
      <w:r w:rsidRPr="005316C8">
        <w:t>development, would appear to be worthy of significant consideration by</w:t>
      </w:r>
      <w:r w:rsidR="00300806">
        <w:t xml:space="preserve"> </w:t>
      </w:r>
      <w:r w:rsidRPr="005316C8">
        <w:t xml:space="preserve">scholars. </w:t>
      </w:r>
      <w:r w:rsidR="00B76AD7">
        <w:t xml:space="preserve"> </w:t>
      </w:r>
      <w:r w:rsidRPr="005316C8">
        <w:t>At the time of MacEoin’s article, however, virtually the only worker</w:t>
      </w:r>
      <w:r w:rsidR="00300806">
        <w:t xml:space="preserve"> </w:t>
      </w:r>
      <w:r w:rsidRPr="005316C8">
        <w:t>in the area seemed to be the Bahá’í scholar H. M. Balyuzi, writing in English</w:t>
      </w:r>
      <w:r w:rsidR="00300806">
        <w:t xml:space="preserve"> </w:t>
      </w:r>
      <w:r w:rsidRPr="005316C8">
        <w:t>and using a number of yet unpublished and/or untranslated sources.</w:t>
      </w:r>
      <w:r w:rsidR="00300806">
        <w:t xml:space="preserve">  </w:t>
      </w:r>
      <w:r w:rsidRPr="005316C8">
        <w:t xml:space="preserve">Balyuzi’s work, </w:t>
      </w:r>
      <w:r w:rsidRPr="00B76AD7">
        <w:rPr>
          <w:i/>
          <w:iCs/>
        </w:rPr>
        <w:t>Edward Granville Browne and the Bahá’í Faith</w:t>
      </w:r>
      <w:r w:rsidRPr="005316C8">
        <w:t>,</w:t>
      </w:r>
      <w:r w:rsidR="00B76AD7">
        <w:rPr>
          <w:rStyle w:val="EndnoteReference"/>
        </w:rPr>
        <w:endnoteReference w:id="3"/>
      </w:r>
      <w:r w:rsidRPr="005316C8">
        <w:t xml:space="preserve"> published in</w:t>
      </w:r>
      <w:r w:rsidR="00300806">
        <w:t xml:space="preserve"> </w:t>
      </w:r>
      <w:r w:rsidRPr="005316C8">
        <w:t>1970, ended an almost fifty-year hiatus in the tradition started by such</w:t>
      </w:r>
      <w:r w:rsidR="00300806">
        <w:t xml:space="preserve"> </w:t>
      </w:r>
      <w:r w:rsidRPr="005316C8">
        <w:t>Western writers as Gobineau, Nicolas, and most importantly Browne</w:t>
      </w:r>
      <w:r w:rsidR="00300806">
        <w:t xml:space="preserve"> </w:t>
      </w:r>
      <w:r w:rsidRPr="005316C8">
        <w:t>himself, the subject of Balyuzi’s book.</w:t>
      </w:r>
    </w:p>
    <w:p w:rsidR="00357426" w:rsidRPr="005316C8" w:rsidRDefault="00357426" w:rsidP="00B76AD7">
      <w:pPr>
        <w:pStyle w:val="Text"/>
      </w:pPr>
      <w:r w:rsidRPr="005316C8">
        <w:t>This long period of scholarly neglect of the Bahá’í Faith was particularly</w:t>
      </w:r>
      <w:r w:rsidR="00300806">
        <w:t xml:space="preserve"> </w:t>
      </w:r>
      <w:r w:rsidRPr="005316C8">
        <w:t xml:space="preserve">unfortunate for several reasons. </w:t>
      </w:r>
      <w:r w:rsidR="00B76AD7">
        <w:t xml:space="preserve"> </w:t>
      </w:r>
      <w:r w:rsidRPr="005316C8">
        <w:t>In the first place, a number of highly</w:t>
      </w:r>
      <w:r w:rsidR="00300806">
        <w:t xml:space="preserve"> </w:t>
      </w:r>
      <w:r w:rsidRPr="005316C8">
        <w:t>significant additions to the literature of the Bahá’í Faith took place during</w:t>
      </w:r>
      <w:r w:rsidR="00300806">
        <w:t xml:space="preserve"> </w:t>
      </w:r>
      <w:r w:rsidRPr="005316C8">
        <w:t xml:space="preserve">the period from 1920 to 1970. </w:t>
      </w:r>
      <w:r w:rsidR="00B76AD7">
        <w:t xml:space="preserve"> </w:t>
      </w:r>
      <w:r w:rsidRPr="005316C8">
        <w:t>For example, in 1932, Shoghi Effendi, the</w:t>
      </w:r>
      <w:r w:rsidR="00300806">
        <w:t xml:space="preserve"> </w:t>
      </w:r>
      <w:r w:rsidRPr="005316C8">
        <w:t>Guardian of the Bahá’í Faith, published his annotated translation of Nabíl’s</w:t>
      </w:r>
      <w:r w:rsidR="00300806">
        <w:t xml:space="preserve"> </w:t>
      </w:r>
      <w:r w:rsidRPr="005316C8">
        <w:t>narrative of the early days of the Bábí Faith.</w:t>
      </w:r>
      <w:r w:rsidR="00B76AD7">
        <w:rPr>
          <w:rStyle w:val="EndnoteReference"/>
        </w:rPr>
        <w:endnoteReference w:id="4"/>
      </w:r>
      <w:r w:rsidRPr="005316C8">
        <w:t xml:space="preserve">  Nabíl’s history was important</w:t>
      </w:r>
      <w:r w:rsidR="00300806">
        <w:t xml:space="preserve"> </w:t>
      </w:r>
      <w:r w:rsidRPr="005316C8">
        <w:t>not only because he was himself an eyewitness to and a participant in so</w:t>
      </w:r>
      <w:r w:rsidR="00300806">
        <w:t xml:space="preserve"> </w:t>
      </w:r>
      <w:r w:rsidRPr="005316C8">
        <w:t>many of the events which he recounts, but also because he consulted scores of</w:t>
      </w:r>
      <w:r w:rsidR="00300806">
        <w:t xml:space="preserve"> </w:t>
      </w:r>
      <w:r w:rsidRPr="005316C8">
        <w:t xml:space="preserve">other witnesses to those events of which he had no first-hand knowledge. </w:t>
      </w:r>
      <w:r w:rsidR="00B76AD7">
        <w:t xml:space="preserve"> </w:t>
      </w:r>
      <w:r w:rsidRPr="005316C8">
        <w:t>As</w:t>
      </w:r>
      <w:r w:rsidR="00300806">
        <w:t xml:space="preserve"> </w:t>
      </w:r>
      <w:r w:rsidRPr="005316C8">
        <w:t>his work unfolds, Nabíl gives the names of those persons on whose direct</w:t>
      </w:r>
      <w:r w:rsidR="00300806">
        <w:t xml:space="preserve"> </w:t>
      </w:r>
      <w:r w:rsidRPr="005316C8">
        <w:t xml:space="preserve">knowledge each particular incident is based. </w:t>
      </w:r>
      <w:r w:rsidR="00B76AD7">
        <w:t xml:space="preserve"> </w:t>
      </w:r>
      <w:r w:rsidRPr="005316C8">
        <w:t>Other examples of additions to</w:t>
      </w:r>
      <w:r w:rsidR="00300806">
        <w:t xml:space="preserve"> </w:t>
      </w:r>
      <w:r w:rsidRPr="005316C8">
        <w:t>Bahá’í literature during this period are the remarkable English translations by</w:t>
      </w:r>
      <w:r w:rsidR="00300806">
        <w:t xml:space="preserve"> </w:t>
      </w:r>
      <w:r w:rsidRPr="005316C8">
        <w:t>Shoghi Effendi of a number of the writings of Bahá’u’lláh.</w:t>
      </w:r>
    </w:p>
    <w:p w:rsidR="00357426" w:rsidRPr="005316C8" w:rsidRDefault="00357426" w:rsidP="00357426">
      <w:pPr>
        <w:pStyle w:val="Text"/>
      </w:pPr>
      <w:r w:rsidRPr="005316C8">
        <w:t>All of these publications increased vastly the quantity of primary material</w:t>
      </w:r>
      <w:r w:rsidR="00300806">
        <w:t xml:space="preserve"> </w:t>
      </w:r>
      <w:r w:rsidRPr="005316C8">
        <w:t>accessible to any serious student of the Bahá’í Faith, whether from the</w:t>
      </w:r>
    </w:p>
    <w:p w:rsidR="00B76AD7" w:rsidRDefault="00B76AD7" w:rsidP="008C02BB">
      <w:r>
        <w:br w:type="page"/>
      </w:r>
    </w:p>
    <w:p w:rsidR="00357426" w:rsidRPr="005316C8" w:rsidRDefault="00357426" w:rsidP="00B76AD7">
      <w:pPr>
        <w:pStyle w:val="Textcts"/>
      </w:pPr>
      <w:r w:rsidRPr="005316C8">
        <w:lastRenderedPageBreak/>
        <w:t xml:space="preserve">historical or the philosophical point of view. </w:t>
      </w:r>
      <w:r w:rsidR="00B76AD7">
        <w:t xml:space="preserve"> </w:t>
      </w:r>
      <w:r w:rsidRPr="005316C8">
        <w:t>Nevertheless, the image of the</w:t>
      </w:r>
      <w:r w:rsidR="00300806">
        <w:t xml:space="preserve"> </w:t>
      </w:r>
      <w:r w:rsidRPr="005316C8">
        <w:t>Bahá’í Faith in scholarly circles during the period 1920–1970 was superficial</w:t>
      </w:r>
      <w:r w:rsidR="00300806">
        <w:t xml:space="preserve"> </w:t>
      </w:r>
      <w:r w:rsidRPr="005316C8">
        <w:t>and was largely formed without study (or perhaps even awareness) of these</w:t>
      </w:r>
      <w:r w:rsidR="00300806">
        <w:t xml:space="preserve"> </w:t>
      </w:r>
      <w:r w:rsidRPr="005316C8">
        <w:t>rich additions to Bahá’í literature.</w:t>
      </w:r>
    </w:p>
    <w:p w:rsidR="00357426" w:rsidRPr="005316C8" w:rsidRDefault="00357426" w:rsidP="00357426">
      <w:pPr>
        <w:pStyle w:val="Text"/>
      </w:pPr>
      <w:r w:rsidRPr="005316C8">
        <w:t>Another reason that the lengthy gap in scholarly consideration of the Bahá’í</w:t>
      </w:r>
      <w:r w:rsidR="00300806">
        <w:t xml:space="preserve"> </w:t>
      </w:r>
      <w:r w:rsidRPr="005316C8">
        <w:t>Faith within the Western academic milieu was particularly unfortunate is</w:t>
      </w:r>
      <w:r w:rsidR="00300806">
        <w:t xml:space="preserve"> </w:t>
      </w:r>
      <w:r w:rsidRPr="005316C8">
        <w:t>that E. G. Browne, the foremost Western student of the nascent Bahá’í</w:t>
      </w:r>
      <w:r w:rsidR="00300806">
        <w:t xml:space="preserve"> </w:t>
      </w:r>
      <w:r w:rsidRPr="005316C8">
        <w:t>movement, made, in the latter years of his life, a number of rather arbitrary</w:t>
      </w:r>
      <w:r w:rsidR="00300806">
        <w:t xml:space="preserve"> </w:t>
      </w:r>
      <w:r w:rsidRPr="005316C8">
        <w:t xml:space="preserve">and doubtful judgements concerning the Bahá’í Faith. </w:t>
      </w:r>
      <w:r w:rsidR="00B76AD7">
        <w:t xml:space="preserve"> </w:t>
      </w:r>
      <w:r w:rsidRPr="005316C8">
        <w:t>As a careful</w:t>
      </w:r>
      <w:r w:rsidR="00300806">
        <w:t xml:space="preserve"> </w:t>
      </w:r>
      <w:r w:rsidRPr="005316C8">
        <w:t>consideration of Browne and his work is the very focus of the Balyuzi book</w:t>
      </w:r>
      <w:r w:rsidR="00300806">
        <w:t xml:space="preserve"> </w:t>
      </w:r>
      <w:r w:rsidRPr="005316C8">
        <w:t xml:space="preserve">cited above, there is no reason to enter into a detailed discussion here. </w:t>
      </w:r>
      <w:r w:rsidR="00B76AD7">
        <w:t xml:space="preserve"> </w:t>
      </w:r>
      <w:r w:rsidRPr="005316C8">
        <w:t>Suffice</w:t>
      </w:r>
      <w:r w:rsidR="00300806">
        <w:t xml:space="preserve"> </w:t>
      </w:r>
      <w:r w:rsidRPr="005316C8">
        <w:t>it to say that the series of Bahá’í studies undertaken by Browne in his later</w:t>
      </w:r>
      <w:r w:rsidR="00300806">
        <w:t xml:space="preserve"> </w:t>
      </w:r>
      <w:r w:rsidRPr="005316C8">
        <w:t>years was based on materials of increasingly doubtful authenticity and value,</w:t>
      </w:r>
      <w:r w:rsidR="00300806">
        <w:t xml:space="preserve"> </w:t>
      </w:r>
      <w:r w:rsidRPr="005316C8">
        <w:t>leading finally to the inclusion of the personal philosophical musings of</w:t>
      </w:r>
      <w:r w:rsidR="00300806">
        <w:t xml:space="preserve"> </w:t>
      </w:r>
      <w:r w:rsidRPr="005316C8">
        <w:t>certain writers whose doctrines had not even the remotest connection with</w:t>
      </w:r>
      <w:r w:rsidR="00300806">
        <w:t xml:space="preserve"> </w:t>
      </w:r>
      <w:r w:rsidRPr="005316C8">
        <w:t xml:space="preserve">Bahá’í teachings. </w:t>
      </w:r>
      <w:r w:rsidR="00B76AD7">
        <w:t xml:space="preserve"> </w:t>
      </w:r>
      <w:r w:rsidRPr="005316C8">
        <w:t>That a person of Browne’s stature in the academic world</w:t>
      </w:r>
      <w:r w:rsidR="00300806">
        <w:t xml:space="preserve"> </w:t>
      </w:r>
      <w:r w:rsidRPr="005316C8">
        <w:t>published such material undoubtedly served to obscure the perception of the</w:t>
      </w:r>
      <w:r w:rsidR="00300806">
        <w:t xml:space="preserve"> </w:t>
      </w:r>
      <w:r w:rsidRPr="005316C8">
        <w:t>Bahá’í Faith by subsequent scholars.</w:t>
      </w:r>
    </w:p>
    <w:p w:rsidR="00357426" w:rsidRPr="005316C8" w:rsidRDefault="00357426" w:rsidP="00357426">
      <w:pPr>
        <w:pStyle w:val="Text"/>
      </w:pPr>
      <w:r w:rsidRPr="005316C8">
        <w:t>Since the appearance of Balyuzi’s study on Browne and the 1974 MacEoin</w:t>
      </w:r>
      <w:r w:rsidR="00300806">
        <w:t xml:space="preserve"> </w:t>
      </w:r>
      <w:r w:rsidRPr="005316C8">
        <w:t>article, a number of younger Western Islamic scholars have undertaken</w:t>
      </w:r>
      <w:r w:rsidR="00300806">
        <w:t xml:space="preserve"> </w:t>
      </w:r>
      <w:r w:rsidRPr="005316C8">
        <w:t xml:space="preserve">various critical studies of the Bahá’í Faith and its origins. </w:t>
      </w:r>
      <w:r w:rsidR="00B76AD7">
        <w:t xml:space="preserve"> </w:t>
      </w:r>
      <w:r w:rsidRPr="005316C8">
        <w:t>In particular,</w:t>
      </w:r>
      <w:r w:rsidR="00300806">
        <w:t xml:space="preserve"> </w:t>
      </w:r>
      <w:r w:rsidRPr="005316C8">
        <w:t>MacEoin himself has gone on to obtain a doctorate in the field of Islamic</w:t>
      </w:r>
      <w:r w:rsidR="00300806">
        <w:t xml:space="preserve"> </w:t>
      </w:r>
      <w:r w:rsidRPr="005316C8">
        <w:t>studies, and has begun to publish articles in various academic journals in</w:t>
      </w:r>
      <w:r w:rsidR="00300806">
        <w:t xml:space="preserve"> </w:t>
      </w:r>
      <w:r w:rsidRPr="005316C8">
        <w:t>which he purports to deal in a scholarly and objective manner with a number</w:t>
      </w:r>
      <w:r w:rsidR="00300806">
        <w:t xml:space="preserve"> </w:t>
      </w:r>
      <w:r w:rsidRPr="005316C8">
        <w:t xml:space="preserve">of questions relating to the birth and development of the Bahá’í Faith. </w:t>
      </w:r>
      <w:r w:rsidR="00B76AD7">
        <w:t xml:space="preserve"> </w:t>
      </w:r>
      <w:r w:rsidRPr="005316C8">
        <w:t>The</w:t>
      </w:r>
      <w:r w:rsidR="00300806">
        <w:t xml:space="preserve"> </w:t>
      </w:r>
      <w:r w:rsidRPr="005316C8">
        <w:t>cogency of the perspective on Bahá’í scholarship contained in MacEoin’s</w:t>
      </w:r>
      <w:r w:rsidR="00300806">
        <w:t xml:space="preserve"> </w:t>
      </w:r>
      <w:r w:rsidRPr="005316C8">
        <w:t>1974 article certainly raised expectations that his future work would be of</w:t>
      </w:r>
      <w:r w:rsidR="00300806">
        <w:t xml:space="preserve"> </w:t>
      </w:r>
      <w:r w:rsidRPr="005316C8">
        <w:t xml:space="preserve">comparable quality. </w:t>
      </w:r>
      <w:r w:rsidR="00B76AD7">
        <w:t xml:space="preserve"> </w:t>
      </w:r>
      <w:r w:rsidRPr="005316C8">
        <w:t>Unhappily, such expectations have not been fulfilled by</w:t>
      </w:r>
      <w:r w:rsidR="00300806">
        <w:t xml:space="preserve"> </w:t>
      </w:r>
      <w:r w:rsidRPr="005316C8">
        <w:t>his recent publications.</w:t>
      </w:r>
    </w:p>
    <w:p w:rsidR="007031B1" w:rsidRDefault="00357426" w:rsidP="007031B1">
      <w:pPr>
        <w:pStyle w:val="Text"/>
      </w:pPr>
      <w:r w:rsidRPr="005316C8">
        <w:t xml:space="preserve">In the article on ‘Abdu’l-Bahá appearing in the </w:t>
      </w:r>
      <w:r w:rsidRPr="00B76AD7">
        <w:rPr>
          <w:i/>
          <w:iCs/>
        </w:rPr>
        <w:t>Encyclopaedia Iranica</w:t>
      </w:r>
      <w:r w:rsidRPr="005316C8">
        <w:t>,</w:t>
      </w:r>
      <w:r w:rsidR="00B76AD7">
        <w:rPr>
          <w:rStyle w:val="EndnoteReference"/>
        </w:rPr>
        <w:endnoteReference w:id="5"/>
      </w:r>
      <w:r w:rsidR="00300806">
        <w:t xml:space="preserve"> </w:t>
      </w:r>
      <w:r w:rsidRPr="005316C8">
        <w:t>MacEoin discusses the teachings presented by ‘Abdu’l-Bahá in the course of</w:t>
      </w:r>
      <w:r w:rsidR="00300806">
        <w:t xml:space="preserve"> </w:t>
      </w:r>
      <w:r w:rsidRPr="005316C8">
        <w:t xml:space="preserve">his travels to the West. </w:t>
      </w:r>
      <w:r w:rsidR="00B76AD7">
        <w:t xml:space="preserve"> </w:t>
      </w:r>
      <w:r w:rsidRPr="005316C8">
        <w:t>Although ‘Abdu’l-Bahá clearly stated that the</w:t>
      </w:r>
      <w:r w:rsidR="00300806">
        <w:t xml:space="preserve"> </w:t>
      </w:r>
      <w:r w:rsidRPr="005316C8">
        <w:t>universal principles which he elaborated in his talks were all based on the</w:t>
      </w:r>
      <w:r w:rsidR="00300806">
        <w:t xml:space="preserve"> </w:t>
      </w:r>
      <w:r w:rsidRPr="005316C8">
        <w:t>writings and teachings of Bahá’u’lláh, MacEoin implies that this is not</w:t>
      </w:r>
      <w:r w:rsidR="00300806">
        <w:t xml:space="preserve"> </w:t>
      </w:r>
      <w:r w:rsidRPr="005316C8">
        <w:t xml:space="preserve">completely so. </w:t>
      </w:r>
      <w:r w:rsidR="00B76AD7">
        <w:t xml:space="preserve"> </w:t>
      </w:r>
      <w:r w:rsidRPr="005316C8">
        <w:t>MacEoin hints that at least some of them were new, possibly</w:t>
      </w:r>
      <w:r w:rsidR="00300806">
        <w:t xml:space="preserve"> </w:t>
      </w:r>
      <w:r w:rsidRPr="005316C8">
        <w:t>borrowed from or influenced by certain of the liberal and humanitarian</w:t>
      </w:r>
      <w:r w:rsidR="00300806">
        <w:t xml:space="preserve"> </w:t>
      </w:r>
      <w:r w:rsidRPr="005316C8">
        <w:t xml:space="preserve">movements of thought then current in the West. </w:t>
      </w:r>
      <w:r w:rsidR="00B76AD7">
        <w:t xml:space="preserve"> </w:t>
      </w:r>
      <w:r w:rsidRPr="005316C8">
        <w:t>Such a contention has been</w:t>
      </w:r>
      <w:r w:rsidR="00300806">
        <w:t xml:space="preserve"> </w:t>
      </w:r>
      <w:r w:rsidRPr="005316C8">
        <w:t xml:space="preserve">thoroughly refuted in a recent issue of </w:t>
      </w:r>
      <w:r w:rsidR="007031B1" w:rsidRPr="007031B1">
        <w:rPr>
          <w:i/>
          <w:iCs/>
        </w:rPr>
        <w:t>‘</w:t>
      </w:r>
      <w:r w:rsidRPr="007031B1">
        <w:rPr>
          <w:i/>
          <w:iCs/>
        </w:rPr>
        <w:t>Andal</w:t>
      </w:r>
      <w:r w:rsidR="007031B1" w:rsidRPr="007031B1">
        <w:rPr>
          <w:i/>
          <w:iCs/>
        </w:rPr>
        <w:t>í</w:t>
      </w:r>
      <w:r w:rsidRPr="007031B1">
        <w:rPr>
          <w:i/>
          <w:iCs/>
        </w:rPr>
        <w:t>b</w:t>
      </w:r>
      <w:commentRangeStart w:id="2"/>
      <w:r w:rsidR="007031B1">
        <w:rPr>
          <w:rStyle w:val="EndnoteReference"/>
        </w:rPr>
        <w:endnoteReference w:id="6"/>
      </w:r>
      <w:commentRangeEnd w:id="2"/>
      <w:r w:rsidR="007031B1">
        <w:rPr>
          <w:rStyle w:val="CommentReference"/>
          <w:rFonts w:eastAsia="PMingLiU"/>
        </w:rPr>
        <w:commentReference w:id="2"/>
      </w:r>
      <w:r w:rsidRPr="005316C8">
        <w:t xml:space="preserve"> where each of the ideas and</w:t>
      </w:r>
      <w:r w:rsidR="00300806">
        <w:t xml:space="preserve"> </w:t>
      </w:r>
      <w:r w:rsidRPr="005316C8">
        <w:t>principles advanced by ‘Abdu’l-Bahá is traced to specific books and tablets</w:t>
      </w:r>
      <w:r w:rsidR="00300806">
        <w:t xml:space="preserve"> </w:t>
      </w:r>
      <w:r w:rsidRPr="005316C8">
        <w:t>of Bahá’u’lláh.</w:t>
      </w:r>
      <w:r w:rsidR="007031B1">
        <w:t xml:space="preserve"> </w:t>
      </w:r>
      <w:r w:rsidRPr="005316C8">
        <w:t xml:space="preserve"> Thus, the unsubstantiated thesis of MacEoin’s </w:t>
      </w:r>
      <w:r w:rsidRPr="007031B1">
        <w:rPr>
          <w:i/>
          <w:iCs/>
        </w:rPr>
        <w:t>Encyclopaedia</w:t>
      </w:r>
      <w:r w:rsidR="00300806">
        <w:t xml:space="preserve"> </w:t>
      </w:r>
      <w:r w:rsidRPr="007031B1">
        <w:rPr>
          <w:i/>
          <w:iCs/>
        </w:rPr>
        <w:t>Iranica</w:t>
      </w:r>
      <w:r w:rsidRPr="005316C8">
        <w:t xml:space="preserve"> article reflects a rather surprising ignorance of important segments of</w:t>
      </w:r>
      <w:r w:rsidR="00300806">
        <w:t xml:space="preserve"> </w:t>
      </w:r>
      <w:r w:rsidRPr="005316C8">
        <w:t>the basic literature of the Bahá’í Faith.</w:t>
      </w:r>
      <w:r w:rsidR="007031B1">
        <w:rPr>
          <w:rStyle w:val="EndnoteReference"/>
        </w:rPr>
        <w:endnoteReference w:id="7"/>
      </w:r>
    </w:p>
    <w:p w:rsidR="007031B1" w:rsidRDefault="007031B1" w:rsidP="008C02BB">
      <w:r>
        <w:br w:type="page"/>
      </w:r>
    </w:p>
    <w:p w:rsidR="00357426" w:rsidRPr="005316C8" w:rsidRDefault="00357426" w:rsidP="00300806">
      <w:pPr>
        <w:pStyle w:val="Text"/>
      </w:pPr>
      <w:r w:rsidRPr="005316C8">
        <w:lastRenderedPageBreak/>
        <w:t>In another recent article, ‘The Bábí Concept of Holy War’</w:t>
      </w:r>
      <w:r w:rsidR="007031B1">
        <w:rPr>
          <w:rStyle w:val="EndnoteReference"/>
        </w:rPr>
        <w:endnoteReference w:id="8"/>
      </w:r>
      <w:r w:rsidRPr="005316C8">
        <w:t xml:space="preserve"> (henceforth</w:t>
      </w:r>
      <w:r w:rsidR="00300806">
        <w:t xml:space="preserve"> </w:t>
      </w:r>
      <w:r w:rsidRPr="005316C8">
        <w:t xml:space="preserve">referred to as </w:t>
      </w:r>
      <w:r w:rsidRPr="007031B1">
        <w:rPr>
          <w:i/>
          <w:iCs/>
        </w:rPr>
        <w:t>Concept</w:t>
      </w:r>
      <w:r w:rsidRPr="005316C8">
        <w:t>), and in a review</w:t>
      </w:r>
      <w:r w:rsidR="007031B1">
        <w:rPr>
          <w:rStyle w:val="EndnoteReference"/>
        </w:rPr>
        <w:endnoteReference w:id="9"/>
      </w:r>
      <w:r w:rsidRPr="005316C8">
        <w:t xml:space="preserve"> of Moojan Momen’s </w:t>
      </w:r>
      <w:r w:rsidRPr="007031B1">
        <w:rPr>
          <w:i/>
          <w:iCs/>
        </w:rPr>
        <w:t>The Bábí and</w:t>
      </w:r>
      <w:r w:rsidR="00300806">
        <w:rPr>
          <w:i/>
          <w:iCs/>
        </w:rPr>
        <w:t xml:space="preserve"> </w:t>
      </w:r>
      <w:r w:rsidRPr="007031B1">
        <w:rPr>
          <w:i/>
          <w:iCs/>
        </w:rPr>
        <w:t xml:space="preserve">Bahá’í Religions, 1844–1944. </w:t>
      </w:r>
      <w:r w:rsidR="007031B1" w:rsidRPr="007031B1">
        <w:rPr>
          <w:i/>
          <w:iCs/>
        </w:rPr>
        <w:t xml:space="preserve"> </w:t>
      </w:r>
      <w:r w:rsidRPr="007031B1">
        <w:rPr>
          <w:i/>
          <w:iCs/>
        </w:rPr>
        <w:t>Some Contemporary Western Accounts</w:t>
      </w:r>
      <w:r w:rsidR="007031B1">
        <w:rPr>
          <w:rStyle w:val="EndnoteReference"/>
        </w:rPr>
        <w:endnoteReference w:id="10"/>
      </w:r>
      <w:r w:rsidRPr="005316C8">
        <w:t xml:space="preserve"> (henceforth referred to as </w:t>
      </w:r>
      <w:r w:rsidRPr="007031B1">
        <w:rPr>
          <w:i/>
          <w:iCs/>
        </w:rPr>
        <w:t>Review</w:t>
      </w:r>
      <w:r w:rsidRPr="005316C8">
        <w:t>), MacEoin again raises a number of basic issues</w:t>
      </w:r>
      <w:r w:rsidR="00300806">
        <w:t xml:space="preserve"> </w:t>
      </w:r>
      <w:r w:rsidRPr="005316C8">
        <w:t>concerning the history and doctrines of the Bábí and Bahá’í Faiths and</w:t>
      </w:r>
      <w:r w:rsidR="00300806">
        <w:t xml:space="preserve"> </w:t>
      </w:r>
      <w:r w:rsidRPr="005316C8">
        <w:t>makes judgements about these issues.</w:t>
      </w:r>
      <w:r w:rsidR="007031B1">
        <w:t xml:space="preserve"> </w:t>
      </w:r>
      <w:r w:rsidRPr="005316C8">
        <w:t xml:space="preserve"> In the eyes of the present writers,</w:t>
      </w:r>
      <w:r w:rsidR="00300806">
        <w:t xml:space="preserve"> </w:t>
      </w:r>
      <w:r w:rsidRPr="005316C8">
        <w:t>many of these judgements appear to be extremely doubtful, and a</w:t>
      </w:r>
      <w:r w:rsidR="00300806">
        <w:t xml:space="preserve"> </w:t>
      </w:r>
      <w:r w:rsidRPr="005316C8">
        <w:t xml:space="preserve">consideration of them is the main focus of this article. </w:t>
      </w:r>
      <w:r w:rsidR="007031B1">
        <w:t xml:space="preserve"> </w:t>
      </w:r>
      <w:r w:rsidRPr="005316C8">
        <w:t>Our comments</w:t>
      </w:r>
      <w:r w:rsidR="00300806">
        <w:t xml:space="preserve"> </w:t>
      </w:r>
      <w:r w:rsidRPr="005316C8">
        <w:t>represent the collaboration between an Eastern scholar who is well familiar</w:t>
      </w:r>
      <w:r w:rsidR="00300806">
        <w:t xml:space="preserve"> </w:t>
      </w:r>
      <w:r w:rsidRPr="005316C8">
        <w:t>with the intricacies of the Persian and Arabic languages and of the relevant</w:t>
      </w:r>
      <w:r w:rsidR="00300806">
        <w:t xml:space="preserve"> </w:t>
      </w:r>
      <w:r w:rsidRPr="005316C8">
        <w:t>texts of the Bábí and Bahá’í scriptures, and a scientifically trained Western</w:t>
      </w:r>
      <w:r w:rsidR="00300806">
        <w:t xml:space="preserve"> </w:t>
      </w:r>
      <w:r w:rsidRPr="005316C8">
        <w:t>writer.</w:t>
      </w:r>
      <w:r w:rsidR="007031B1">
        <w:rPr>
          <w:rStyle w:val="EndnoteReference"/>
        </w:rPr>
        <w:endnoteReference w:id="11"/>
      </w:r>
    </w:p>
    <w:p w:rsidR="00357426" w:rsidRPr="005316C8" w:rsidRDefault="00357426" w:rsidP="00357426">
      <w:pPr>
        <w:pStyle w:val="Text"/>
      </w:pPr>
      <w:r w:rsidRPr="005316C8">
        <w:t>Without detracting in any way from the academic achievements of</w:t>
      </w:r>
      <w:r w:rsidR="00300806">
        <w:t xml:space="preserve"> </w:t>
      </w:r>
      <w:r w:rsidRPr="005316C8">
        <w:t>Western scholars such as MacEoin who have learned the Persian and Arabic</w:t>
      </w:r>
      <w:r w:rsidR="00300806">
        <w:t xml:space="preserve"> </w:t>
      </w:r>
      <w:r w:rsidRPr="005316C8">
        <w:t>languages, it is our hope that this kind of collaboration may allow for a more</w:t>
      </w:r>
      <w:r w:rsidR="00300806">
        <w:t xml:space="preserve"> </w:t>
      </w:r>
      <w:r w:rsidRPr="005316C8">
        <w:t>balanced and also more acute analysis of some of the basic issues involved in</w:t>
      </w:r>
      <w:r w:rsidR="00300806">
        <w:t xml:space="preserve"> </w:t>
      </w:r>
      <w:r w:rsidRPr="005316C8">
        <w:t>this field of study.</w:t>
      </w:r>
    </w:p>
    <w:p w:rsidR="00357426" w:rsidRPr="005316C8" w:rsidRDefault="00357426" w:rsidP="007031B1">
      <w:pPr>
        <w:pStyle w:val="Myhead"/>
      </w:pPr>
      <w:r w:rsidRPr="005316C8">
        <w:t xml:space="preserve">A </w:t>
      </w:r>
      <w:r w:rsidR="007031B1" w:rsidRPr="005316C8">
        <w:t xml:space="preserve">new key to </w:t>
      </w:r>
      <w:r w:rsidRPr="005316C8">
        <w:t>B</w:t>
      </w:r>
      <w:r w:rsidR="007031B1" w:rsidRPr="005316C8">
        <w:t>ahá’í history?</w:t>
      </w:r>
    </w:p>
    <w:p w:rsidR="00357426" w:rsidRPr="005316C8" w:rsidRDefault="00357426" w:rsidP="007031B1">
      <w:pPr>
        <w:pStyle w:val="Text"/>
      </w:pPr>
      <w:r w:rsidRPr="005316C8">
        <w:t xml:space="preserve">In his article </w:t>
      </w:r>
      <w:r w:rsidRPr="007031B1">
        <w:rPr>
          <w:i/>
          <w:iCs/>
        </w:rPr>
        <w:t>Concept</w:t>
      </w:r>
      <w:r w:rsidRPr="005316C8">
        <w:t>, MacEoin’s central concern is to elucidate what he sees</w:t>
      </w:r>
      <w:r w:rsidR="00300806">
        <w:t xml:space="preserve"> </w:t>
      </w:r>
      <w:r w:rsidRPr="005316C8">
        <w:t>as misconceptions regarding a number of important events in the early</w:t>
      </w:r>
      <w:r w:rsidR="00300806">
        <w:t xml:space="preserve"> </w:t>
      </w:r>
      <w:r w:rsidRPr="005316C8">
        <w:t xml:space="preserve">history of the Bábí Faith. </w:t>
      </w:r>
      <w:r w:rsidR="007031B1">
        <w:t xml:space="preserve"> </w:t>
      </w:r>
      <w:r w:rsidRPr="005316C8">
        <w:t>He is particularly concerned with the violent</w:t>
      </w:r>
      <w:r w:rsidR="00300806">
        <w:t xml:space="preserve"> </w:t>
      </w:r>
      <w:r w:rsidRPr="005316C8">
        <w:t xml:space="preserve">confrontations between Bábís and Muslims at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Nayríz,</w:t>
      </w:r>
      <w:r w:rsidR="00300806">
        <w:t xml:space="preserve"> </w:t>
      </w:r>
      <w:r w:rsidRPr="005316C8">
        <w:t xml:space="preserve">and Zanján. </w:t>
      </w:r>
      <w:r w:rsidR="00426A8A">
        <w:t xml:space="preserve"> </w:t>
      </w:r>
      <w:r w:rsidRPr="005316C8">
        <w:t>He points out (</w:t>
      </w:r>
      <w:r w:rsidRPr="007031B1">
        <w:rPr>
          <w:i/>
          <w:iCs/>
        </w:rPr>
        <w:t>Concept</w:t>
      </w:r>
      <w:r w:rsidRPr="005316C8">
        <w:t>, p. 94) that enemies of the Bábí Faith,</w:t>
      </w:r>
      <w:r w:rsidR="00300806">
        <w:t xml:space="preserve"> </w:t>
      </w:r>
      <w:r w:rsidRPr="005316C8">
        <w:t>and certain exponents of the established authorities of the day, consistently</w:t>
      </w:r>
      <w:r w:rsidR="00300806">
        <w:t xml:space="preserve"> </w:t>
      </w:r>
      <w:r w:rsidRPr="005316C8">
        <w:t>characterized these events as Bábí insurrections, uprisings, or rebellions.</w:t>
      </w:r>
      <w:r w:rsidR="00300806">
        <w:t xml:space="preserve">  </w:t>
      </w:r>
      <w:r w:rsidRPr="005316C8">
        <w:t>Bahá’í writers, on the other hand, have stressed the defensive nature of the</w:t>
      </w:r>
      <w:r w:rsidR="00300806">
        <w:t xml:space="preserve"> </w:t>
      </w:r>
      <w:r w:rsidRPr="005316C8">
        <w:t>Babís’ actions in the face of extreme provocation and persecution.</w:t>
      </w:r>
      <w:r w:rsidR="00300806">
        <w:t xml:space="preserve">  </w:t>
      </w:r>
      <w:r w:rsidRPr="005316C8">
        <w:t>Representative of the Bahá’í viewpoint (although this particular passage is</w:t>
      </w:r>
      <w:r w:rsidR="00300806">
        <w:t xml:space="preserve"> </w:t>
      </w:r>
      <w:r w:rsidRPr="005316C8">
        <w:t>not quoted by MacEoin) is the following statement written by George</w:t>
      </w:r>
      <w:r w:rsidR="00300806">
        <w:t xml:space="preserve"> </w:t>
      </w:r>
      <w:r w:rsidRPr="005316C8">
        <w:t>Townshend:</w:t>
      </w:r>
    </w:p>
    <w:p w:rsidR="00357426" w:rsidRPr="005316C8" w:rsidRDefault="00357426" w:rsidP="00300806">
      <w:pPr>
        <w:pStyle w:val="Quote"/>
      </w:pPr>
      <w:r w:rsidRPr="005316C8">
        <w:t>On these three occasions [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Nayríz, and Zanján] a number of</w:t>
      </w:r>
      <w:r w:rsidR="00300806">
        <w:t xml:space="preserve"> </w:t>
      </w:r>
      <w:r w:rsidRPr="005316C8">
        <w:t>Bábís, driven to desperation, withdrew in concert from their houses to a chosen</w:t>
      </w:r>
      <w:r w:rsidR="00300806">
        <w:t xml:space="preserve"> </w:t>
      </w:r>
      <w:r w:rsidRPr="005316C8">
        <w:t>retreat and, erecting defensive works about them, defied in arms further pursuit.</w:t>
      </w:r>
      <w:r w:rsidR="00300806">
        <w:t xml:space="preserve">  </w:t>
      </w:r>
      <w:r w:rsidRPr="005316C8">
        <w:t>To any impartial witness it was evident that the mullás’ allegations of a political</w:t>
      </w:r>
      <w:r w:rsidR="00300806">
        <w:t xml:space="preserve"> </w:t>
      </w:r>
      <w:r w:rsidRPr="005316C8">
        <w:t xml:space="preserve">motive were untrue. </w:t>
      </w:r>
      <w:r w:rsidR="007031B1">
        <w:t xml:space="preserve"> </w:t>
      </w:r>
      <w:r w:rsidRPr="005316C8">
        <w:t>The Bábís showed themselves always ready—on assurance</w:t>
      </w:r>
      <w:r w:rsidR="00300806">
        <w:t xml:space="preserve"> </w:t>
      </w:r>
      <w:r w:rsidRPr="005316C8">
        <w:t>that they would be no longer molested for their religious beliefs—to return</w:t>
      </w:r>
      <w:r w:rsidR="00300806">
        <w:t xml:space="preserve"> </w:t>
      </w:r>
      <w:r w:rsidRPr="005316C8">
        <w:t xml:space="preserve">peacefully to their civil occupations. </w:t>
      </w:r>
      <w:r w:rsidR="007031B1">
        <w:t xml:space="preserve"> </w:t>
      </w:r>
      <w:r w:rsidRPr="005316C8">
        <w:t>Nabíl emphasizes their care to refrain from</w:t>
      </w:r>
      <w:r w:rsidR="00300806">
        <w:t xml:space="preserve"> </w:t>
      </w:r>
      <w:r w:rsidRPr="005316C8">
        <w:t>aggression.</w:t>
      </w:r>
      <w:r w:rsidR="007031B1">
        <w:t xml:space="preserve"> </w:t>
      </w:r>
      <w:r w:rsidRPr="005316C8">
        <w:t xml:space="preserve"> They would fight for their lives with determined skill and strength;</w:t>
      </w:r>
      <w:r w:rsidR="00300806">
        <w:t xml:space="preserve"> </w:t>
      </w:r>
      <w:r w:rsidRPr="005316C8">
        <w:t xml:space="preserve">but they would not attack. </w:t>
      </w:r>
      <w:r w:rsidR="007031B1">
        <w:t xml:space="preserve"> </w:t>
      </w:r>
      <w:r w:rsidRPr="005316C8">
        <w:t>Even in the midst of fierce conflict they would not</w:t>
      </w:r>
      <w:r w:rsidR="00300806">
        <w:t xml:space="preserve"> </w:t>
      </w:r>
      <w:r w:rsidRPr="005316C8">
        <w:t>drive home an advantage nor strike an unnecessary blow.</w:t>
      </w:r>
      <w:r w:rsidR="007031B1">
        <w:rPr>
          <w:rStyle w:val="EndnoteReference"/>
        </w:rPr>
        <w:endnoteReference w:id="12"/>
      </w:r>
    </w:p>
    <w:p w:rsidR="007031B1" w:rsidRDefault="007031B1" w:rsidP="008C02BB">
      <w:r>
        <w:br w:type="page"/>
      </w:r>
    </w:p>
    <w:p w:rsidR="00357426" w:rsidRPr="005316C8" w:rsidRDefault="00357426" w:rsidP="00357426">
      <w:pPr>
        <w:pStyle w:val="Text"/>
      </w:pPr>
      <w:r w:rsidRPr="005316C8">
        <w:lastRenderedPageBreak/>
        <w:t xml:space="preserve">The main thesis of </w:t>
      </w:r>
      <w:r w:rsidR="007031B1" w:rsidRPr="007031B1">
        <w:rPr>
          <w:i/>
          <w:iCs/>
        </w:rPr>
        <w:t>Concept</w:t>
      </w:r>
      <w:r w:rsidRPr="005316C8">
        <w:t xml:space="preserve"> is that previous writers on Bábí history have</w:t>
      </w:r>
      <w:r w:rsidR="00300806">
        <w:t xml:space="preserve"> </w:t>
      </w:r>
      <w:r w:rsidRPr="005316C8">
        <w:t xml:space="preserve">neglected the concept of </w:t>
      </w:r>
      <w:r w:rsidR="007031B1" w:rsidRPr="007031B1">
        <w:rPr>
          <w:i/>
          <w:iCs/>
        </w:rPr>
        <w:t>jihád</w:t>
      </w:r>
      <w:r w:rsidRPr="005316C8">
        <w:t xml:space="preserve"> (holy war) which, MacEoin affirms, is the key</w:t>
      </w:r>
      <w:r w:rsidR="00300806">
        <w:t xml:space="preserve"> </w:t>
      </w:r>
      <w:r w:rsidRPr="005316C8">
        <w:t>to understanding the Bábí attitudes and actions and thereby the essential</w:t>
      </w:r>
      <w:r w:rsidR="00300806">
        <w:t xml:space="preserve"> </w:t>
      </w:r>
      <w:r w:rsidRPr="005316C8">
        <w:t>nature of the events in question:</w:t>
      </w:r>
    </w:p>
    <w:p w:rsidR="00357426" w:rsidRPr="005316C8" w:rsidRDefault="00357426" w:rsidP="00300806">
      <w:pPr>
        <w:pStyle w:val="Text"/>
      </w:pPr>
      <w:r w:rsidRPr="005316C8">
        <w:t>Both these views—</w:t>
      </w:r>
      <w:r w:rsidR="007031B1">
        <w:t>‘</w:t>
      </w:r>
      <w:r w:rsidRPr="005316C8">
        <w:t>rebellion’ on the one hand and ‘self-defence’ and ‘persecution’ on the other—obscure the more fundamental issue of the nature, status, and</w:t>
      </w:r>
      <w:r w:rsidR="00300806">
        <w:t xml:space="preserve"> </w:t>
      </w:r>
      <w:r w:rsidRPr="005316C8">
        <w:t xml:space="preserve">function of </w:t>
      </w:r>
      <w:r w:rsidR="007031B1" w:rsidRPr="007031B1">
        <w:rPr>
          <w:i/>
          <w:iCs/>
        </w:rPr>
        <w:t>jihád</w:t>
      </w:r>
      <w:r w:rsidRPr="005316C8">
        <w:t xml:space="preserve"> within the Bábí movement, as derived from Islam, from the</w:t>
      </w:r>
      <w:r w:rsidR="00300806">
        <w:t xml:space="preserve"> </w:t>
      </w:r>
      <w:r w:rsidRPr="005316C8">
        <w:t>writings of the Báb, and from the expressed attitudes of the Bábí leadership in</w:t>
      </w:r>
      <w:r w:rsidR="00300806">
        <w:t xml:space="preserve"> </w:t>
      </w:r>
      <w:r w:rsidRPr="005316C8">
        <w:t>those localities where trouble broke out.</w:t>
      </w:r>
      <w:r w:rsidR="002E466A">
        <w:rPr>
          <w:rStyle w:val="EndnoteReference"/>
        </w:rPr>
        <w:endnoteReference w:id="13"/>
      </w:r>
    </w:p>
    <w:p w:rsidR="00357426" w:rsidRPr="005316C8" w:rsidRDefault="00357426" w:rsidP="00300806">
      <w:pPr>
        <w:pStyle w:val="Text"/>
      </w:pPr>
      <w:r w:rsidRPr="005316C8">
        <w:t xml:space="preserve">MacEoin gives as reasons for the importance of </w:t>
      </w:r>
      <w:r w:rsidR="007031B1" w:rsidRPr="007031B1">
        <w:rPr>
          <w:i/>
          <w:iCs/>
        </w:rPr>
        <w:t>jihád</w:t>
      </w:r>
      <w:r w:rsidRPr="005316C8">
        <w:t xml:space="preserve"> that ‘it provides us</w:t>
      </w:r>
      <w:r w:rsidR="00300806">
        <w:t xml:space="preserve"> </w:t>
      </w:r>
      <w:r w:rsidRPr="005316C8">
        <w:t>with an important focus for the consideration of the Báb’s attitude and the</w:t>
      </w:r>
      <w:r w:rsidR="00300806">
        <w:t xml:space="preserve"> </w:t>
      </w:r>
      <w:r w:rsidRPr="005316C8">
        <w:t>attitudes of his followers to Islam and to the Qájár state’, that ‘it enables us</w:t>
      </w:r>
      <w:r w:rsidR="00300806">
        <w:t xml:space="preserve"> </w:t>
      </w:r>
      <w:r w:rsidRPr="005316C8">
        <w:t>to carry out a reappraisal of the political and ethical issues involved in the</w:t>
      </w:r>
      <w:r w:rsidR="00300806">
        <w:t xml:space="preserve"> </w:t>
      </w:r>
      <w:r w:rsidRPr="005316C8">
        <w:t xml:space="preserve">struggles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Nayríz and Zanján’ and finally that ‘it leads us</w:t>
      </w:r>
      <w:r w:rsidR="00300806">
        <w:t xml:space="preserve"> </w:t>
      </w:r>
      <w:r w:rsidRPr="005316C8">
        <w:t>directly to one of the most central questions around which the development</w:t>
      </w:r>
      <w:r w:rsidR="00300806">
        <w:t xml:space="preserve"> </w:t>
      </w:r>
      <w:r w:rsidRPr="005316C8">
        <w:t>of Baha’ism out of Babism revolves, and clarifies for us what is perhaps the</w:t>
      </w:r>
      <w:r w:rsidR="00300806">
        <w:t xml:space="preserve"> </w:t>
      </w:r>
      <w:r w:rsidRPr="005316C8">
        <w:t>most distinctive feature of early Bahá’í doctrine’.</w:t>
      </w:r>
      <w:r w:rsidR="002E466A">
        <w:rPr>
          <w:rStyle w:val="EndnoteReference"/>
        </w:rPr>
        <w:endnoteReference w:id="14"/>
      </w:r>
    </w:p>
    <w:p w:rsidR="00357426" w:rsidRPr="005316C8" w:rsidRDefault="00357426" w:rsidP="00300806">
      <w:pPr>
        <w:pStyle w:val="Text"/>
      </w:pPr>
      <w:r w:rsidRPr="005316C8">
        <w:t xml:space="preserve">The remainder of </w:t>
      </w:r>
      <w:r w:rsidR="007031B1" w:rsidRPr="007031B1">
        <w:rPr>
          <w:i/>
          <w:iCs/>
        </w:rPr>
        <w:t>Concept</w:t>
      </w:r>
      <w:r w:rsidRPr="005316C8">
        <w:t xml:space="preserve"> consists in the presentation of a certain doctrine</w:t>
      </w:r>
      <w:r w:rsidR="00300806">
        <w:t xml:space="preserve"> </w:t>
      </w:r>
      <w:r w:rsidRPr="005316C8">
        <w:t>of holy war, attributed to the Báb and based on selected quotations from</w:t>
      </w:r>
      <w:r w:rsidR="00300806">
        <w:t xml:space="preserve"> </w:t>
      </w:r>
      <w:r w:rsidRPr="005316C8">
        <w:t xml:space="preserve">the Báb’s writings, particularly his initial work, the </w:t>
      </w:r>
      <w:r w:rsidR="002E466A" w:rsidRPr="002E466A">
        <w:rPr>
          <w:i/>
          <w:iCs/>
        </w:rPr>
        <w:t>Qayyúmu’l-Asmá’</w:t>
      </w:r>
      <w:r w:rsidR="002E466A">
        <w:rPr>
          <w:rStyle w:val="EndnoteReference"/>
        </w:rPr>
        <w:endnoteReference w:id="15"/>
      </w:r>
      <w:r w:rsidRPr="005316C8">
        <w:t xml:space="preserve"> (the</w:t>
      </w:r>
      <w:r w:rsidR="00300806">
        <w:t xml:space="preserve"> </w:t>
      </w:r>
      <w:r w:rsidRPr="005316C8">
        <w:t>commentary on the súrih of Joseph in the Qur’án), and an analysis of the</w:t>
      </w:r>
      <w:r w:rsidR="00300806">
        <w:t xml:space="preserve"> </w:t>
      </w:r>
      <w:r w:rsidRPr="005316C8">
        <w:t>above-mentioned historical incidents in the light of this doctrine.</w:t>
      </w:r>
    </w:p>
    <w:p w:rsidR="00357426" w:rsidRPr="005316C8" w:rsidRDefault="00357426" w:rsidP="00357426">
      <w:pPr>
        <w:pStyle w:val="Text"/>
      </w:pPr>
      <w:r w:rsidRPr="005316C8">
        <w:t>There are a number of reasons for feeling that MacEoin’s treatment of</w:t>
      </w:r>
      <w:r w:rsidR="00300806">
        <w:t xml:space="preserve"> </w:t>
      </w:r>
      <w:r w:rsidRPr="005316C8">
        <w:t xml:space="preserve">these events and issues is defective. </w:t>
      </w:r>
      <w:r w:rsidR="002E466A">
        <w:t xml:space="preserve"> </w:t>
      </w:r>
      <w:r w:rsidRPr="005316C8">
        <w:t>He is highly selective in the material</w:t>
      </w:r>
      <w:r w:rsidR="00300806">
        <w:t xml:space="preserve"> </w:t>
      </w:r>
      <w:r w:rsidRPr="005316C8">
        <w:t xml:space="preserve">which he quotes from the Báb. </w:t>
      </w:r>
      <w:r w:rsidR="002E466A">
        <w:t xml:space="preserve"> </w:t>
      </w:r>
      <w:r w:rsidRPr="005316C8">
        <w:t>Also, the Báb’s later works and their import</w:t>
      </w:r>
      <w:r w:rsidR="00300806">
        <w:t xml:space="preserve"> </w:t>
      </w:r>
      <w:r w:rsidRPr="005316C8">
        <w:t xml:space="preserve">are considerably neglected. </w:t>
      </w:r>
      <w:r w:rsidR="002E466A">
        <w:t xml:space="preserve"> </w:t>
      </w:r>
      <w:r w:rsidRPr="005316C8">
        <w:t>Moreover, throughout his rather long paper,</w:t>
      </w:r>
      <w:r w:rsidR="00300806">
        <w:t xml:space="preserve"> </w:t>
      </w:r>
      <w:r w:rsidRPr="005316C8">
        <w:t>MacEoin states, without argument or support, a number of judgements and</w:t>
      </w:r>
      <w:r w:rsidR="00300806">
        <w:t xml:space="preserve"> </w:t>
      </w:r>
      <w:r w:rsidRPr="005316C8">
        <w:t>interpretations which are open to serious question.</w:t>
      </w:r>
      <w:r w:rsidR="002E466A">
        <w:t xml:space="preserve"> </w:t>
      </w:r>
      <w:r w:rsidRPr="005316C8">
        <w:t xml:space="preserve"> Finally, there are several</w:t>
      </w:r>
      <w:r w:rsidR="00300806">
        <w:t xml:space="preserve"> </w:t>
      </w:r>
      <w:r w:rsidRPr="005316C8">
        <w:t>important inconsistencies and contradictions in MacEoin’s presentation of</w:t>
      </w:r>
      <w:r w:rsidR="00300806">
        <w:t xml:space="preserve"> </w:t>
      </w:r>
      <w:r w:rsidRPr="005316C8">
        <w:t xml:space="preserve">his thesis. </w:t>
      </w:r>
      <w:r w:rsidR="002E466A">
        <w:t xml:space="preserve"> </w:t>
      </w:r>
      <w:r w:rsidRPr="005316C8">
        <w:t>In our discussion below, we will deal with each of these questions.</w:t>
      </w:r>
    </w:p>
    <w:p w:rsidR="002E466A" w:rsidRDefault="00357426" w:rsidP="002E466A">
      <w:pPr>
        <w:pStyle w:val="Text"/>
      </w:pPr>
      <w:r w:rsidRPr="005316C8">
        <w:t xml:space="preserve">Let us begin with consideration of a basic inconsistency </w:t>
      </w:r>
      <w:r w:rsidR="002E466A">
        <w:t>that</w:t>
      </w:r>
      <w:r w:rsidRPr="005316C8">
        <w:t xml:space="preserve"> is</w:t>
      </w:r>
      <w:r w:rsidR="00300806">
        <w:t xml:space="preserve"> </w:t>
      </w:r>
      <w:r w:rsidRPr="005316C8">
        <w:t xml:space="preserve">fundamental to MacEoin’s presentation of his thesis. </w:t>
      </w:r>
      <w:r w:rsidR="002E466A">
        <w:t xml:space="preserve"> </w:t>
      </w:r>
      <w:r w:rsidRPr="005316C8">
        <w:t>In his initial</w:t>
      </w:r>
      <w:r w:rsidR="00300806">
        <w:t xml:space="preserve"> </w:t>
      </w:r>
      <w:r w:rsidRPr="005316C8">
        <w:t>presentation (quoted above) of the thesis that the concept of holy war is the</w:t>
      </w:r>
      <w:r w:rsidR="00300806">
        <w:t xml:space="preserve"> </w:t>
      </w:r>
      <w:r w:rsidRPr="005316C8">
        <w:t>key to understanding the Bábí-Muslim confrontations, MacEoin clearly</w:t>
      </w:r>
      <w:r w:rsidR="00300806">
        <w:t xml:space="preserve"> </w:t>
      </w:r>
      <w:r w:rsidRPr="005316C8">
        <w:t>rejects both the notion that the Bábís were politically motivated (the</w:t>
      </w:r>
      <w:r w:rsidR="00300806">
        <w:t xml:space="preserve"> </w:t>
      </w:r>
      <w:r w:rsidRPr="005316C8">
        <w:t>‘rebellion’ interpretation) and the notion that their actions were essentially</w:t>
      </w:r>
      <w:r w:rsidR="00300806">
        <w:t xml:space="preserve"> </w:t>
      </w:r>
      <w:r w:rsidRPr="005316C8">
        <w:t>defensive, as explained by ‘Abdu’l-Bahá, Shoghi Effendi, and other Bahá’í</w:t>
      </w:r>
      <w:r w:rsidR="00300806">
        <w:t xml:space="preserve"> </w:t>
      </w:r>
      <w:r w:rsidRPr="005316C8">
        <w:t xml:space="preserve">writers. </w:t>
      </w:r>
      <w:r w:rsidR="002E466A">
        <w:t xml:space="preserve"> </w:t>
      </w:r>
      <w:r w:rsidRPr="005316C8">
        <w:t xml:space="preserve">Since MacEoin puts forth </w:t>
      </w:r>
      <w:r w:rsidR="007031B1" w:rsidRPr="007031B1">
        <w:rPr>
          <w:i/>
          <w:iCs/>
        </w:rPr>
        <w:t>jihád</w:t>
      </w:r>
      <w:r w:rsidRPr="005316C8">
        <w:t xml:space="preserve"> as the proper answer, one would</w:t>
      </w:r>
      <w:r w:rsidR="00300806">
        <w:t xml:space="preserve"> </w:t>
      </w:r>
      <w:r w:rsidRPr="005316C8">
        <w:t>naturally expect him to present the Bábís as having engaged in an offensive</w:t>
      </w:r>
      <w:r w:rsidR="00300806">
        <w:t xml:space="preserve"> </w:t>
      </w:r>
      <w:r w:rsidRPr="005316C8">
        <w:t xml:space="preserve">military action justified by appropriate religious doctrines and motives. </w:t>
      </w:r>
      <w:r w:rsidR="002E466A">
        <w:t xml:space="preserve"> </w:t>
      </w:r>
      <w:r w:rsidRPr="005316C8">
        <w:t>It is</w:t>
      </w:r>
      <w:r w:rsidR="00300806">
        <w:t xml:space="preserve"> </w:t>
      </w:r>
      <w:r w:rsidRPr="005316C8">
        <w:t>therefore surprising to read, in the conclusion to the paper, that in</w:t>
      </w:r>
      <w:r w:rsidR="00300806">
        <w:t xml:space="preserve"> </w:t>
      </w:r>
      <w:r w:rsidRPr="005316C8">
        <w:t>MacEoin’s own judgement this is not the case:</w:t>
      </w:r>
      <w:r w:rsidR="002E466A">
        <w:br w:type="page"/>
      </w:r>
    </w:p>
    <w:p w:rsidR="00357426" w:rsidRPr="005316C8" w:rsidRDefault="00357426" w:rsidP="002E466A">
      <w:pPr>
        <w:pStyle w:val="Quote"/>
      </w:pPr>
      <w:r w:rsidRPr="005316C8">
        <w:lastRenderedPageBreak/>
        <w:t>In conclusion, then, we may note that in no instance do the Bábís seem to have</w:t>
      </w:r>
      <w:r w:rsidR="00300806">
        <w:t xml:space="preserve"> </w:t>
      </w:r>
      <w:r w:rsidRPr="005316C8">
        <w:t xml:space="preserve">declared offensive </w:t>
      </w:r>
      <w:r w:rsidR="007031B1" w:rsidRPr="008C02BB">
        <w:rPr>
          <w:i/>
          <w:iCs w:val="0"/>
        </w:rPr>
        <w:t>jihád</w:t>
      </w:r>
      <w:r w:rsidRPr="005316C8">
        <w:t xml:space="preserve"> along the lines suggested in the </w:t>
      </w:r>
      <w:r w:rsidRPr="002E466A">
        <w:rPr>
          <w:i/>
          <w:iCs w:val="0"/>
        </w:rPr>
        <w:t>Qayyúm al-asmá’</w:t>
      </w:r>
      <w:r w:rsidRPr="005316C8">
        <w:t>, probably</w:t>
      </w:r>
      <w:r w:rsidR="00300806">
        <w:t xml:space="preserve"> </w:t>
      </w:r>
      <w:r w:rsidRPr="005316C8">
        <w:t>because it was regarded as wrong to declare a holy war unless there was a</w:t>
      </w:r>
      <w:r w:rsidR="00300806">
        <w:t xml:space="preserve"> </w:t>
      </w:r>
      <w:r w:rsidRPr="005316C8">
        <w:t>reasonable chance of success</w:t>
      </w:r>
      <w:r w:rsidR="002E466A">
        <w:t>—</w:t>
      </w:r>
      <w:r w:rsidRPr="005316C8">
        <w:t>a condition clearly lacking in the case of the</w:t>
      </w:r>
      <w:r w:rsidR="00300806">
        <w:t xml:space="preserve"> </w:t>
      </w:r>
      <w:r w:rsidRPr="005316C8">
        <w:t>Bábís.</w:t>
      </w:r>
      <w:r w:rsidR="002E466A">
        <w:rPr>
          <w:rStyle w:val="EndnoteReference"/>
        </w:rPr>
        <w:endnoteReference w:id="16"/>
      </w:r>
    </w:p>
    <w:p w:rsidR="00357426" w:rsidRPr="005316C8" w:rsidRDefault="00357426" w:rsidP="002E466A">
      <w:pPr>
        <w:pStyle w:val="Text"/>
      </w:pPr>
      <w:r w:rsidRPr="005316C8">
        <w:t>How indeed can the notion of holy war be the key to understanding the</w:t>
      </w:r>
      <w:r w:rsidR="00300806">
        <w:t xml:space="preserve"> </w:t>
      </w:r>
      <w:r w:rsidRPr="005316C8">
        <w:t>Bábí-Muslim confrontations if in no instance it was involved in precipitating</w:t>
      </w:r>
      <w:r w:rsidR="00300806">
        <w:t xml:space="preserve"> </w:t>
      </w:r>
      <w:r w:rsidRPr="005316C8">
        <w:t xml:space="preserve">the conflicts?  How can </w:t>
      </w:r>
      <w:r w:rsidR="007031B1" w:rsidRPr="007031B1">
        <w:rPr>
          <w:i/>
          <w:iCs/>
        </w:rPr>
        <w:t>jihád</w:t>
      </w:r>
      <w:r w:rsidRPr="005316C8">
        <w:t xml:space="preserve"> explain to us ‘the Báb’s attitudes and the</w:t>
      </w:r>
      <w:r w:rsidR="00300806">
        <w:t xml:space="preserve"> </w:t>
      </w:r>
      <w:r w:rsidRPr="005316C8">
        <w:t>attitude of his followers to Islam and to the Qájár state’</w:t>
      </w:r>
      <w:r w:rsidR="002E466A">
        <w:rPr>
          <w:rStyle w:val="EndnoteReference"/>
        </w:rPr>
        <w:endnoteReference w:id="17"/>
      </w:r>
      <w:r w:rsidRPr="005316C8">
        <w:t xml:space="preserve"> if the only notion of</w:t>
      </w:r>
      <w:r w:rsidR="00300806">
        <w:t xml:space="preserve"> </w:t>
      </w:r>
      <w:r w:rsidR="007031B1" w:rsidRPr="007031B1">
        <w:rPr>
          <w:i/>
          <w:iCs/>
        </w:rPr>
        <w:t>jihád</w:t>
      </w:r>
      <w:r w:rsidRPr="005316C8">
        <w:t xml:space="preserve"> which MacEoin attributes to the Báb (that which MacEoin derives from</w:t>
      </w:r>
      <w:r w:rsidR="00300806">
        <w:t xml:space="preserve"> </w:t>
      </w:r>
      <w:r w:rsidRPr="005316C8">
        <w:t xml:space="preserve">his particular exegesis of the </w:t>
      </w:r>
      <w:r w:rsidR="002E466A" w:rsidRPr="002E466A">
        <w:rPr>
          <w:i/>
          <w:iCs/>
        </w:rPr>
        <w:t>Qayyúmu’l-Asmá’</w:t>
      </w:r>
      <w:r w:rsidRPr="005316C8">
        <w:t>) was, in no instance, the basis of</w:t>
      </w:r>
      <w:r w:rsidR="00300806">
        <w:t xml:space="preserve"> </w:t>
      </w:r>
      <w:r w:rsidRPr="005316C8">
        <w:t>the Bábí actions?</w:t>
      </w:r>
    </w:p>
    <w:p w:rsidR="00357426" w:rsidRPr="005316C8" w:rsidRDefault="00357426" w:rsidP="00300806">
      <w:pPr>
        <w:pStyle w:val="Text"/>
      </w:pPr>
      <w:r w:rsidRPr="005316C8">
        <w:t>Moreover, the only reason suggested by MacEoin to explain the Bábís’</w:t>
      </w:r>
      <w:r w:rsidR="00300806">
        <w:t xml:space="preserve"> </w:t>
      </w:r>
      <w:r w:rsidRPr="005316C8">
        <w:t xml:space="preserve">refusal to declare </w:t>
      </w:r>
      <w:r w:rsidR="007031B1" w:rsidRPr="007031B1">
        <w:rPr>
          <w:i/>
          <w:iCs/>
        </w:rPr>
        <w:t>jihád</w:t>
      </w:r>
      <w:r w:rsidRPr="005316C8">
        <w:t xml:space="preserve"> against their Muslim opponents was the lack of a</w:t>
      </w:r>
      <w:r w:rsidR="00300806">
        <w:t xml:space="preserve"> </w:t>
      </w:r>
      <w:r w:rsidRPr="005316C8">
        <w:t xml:space="preserve">reasonable chance of success. </w:t>
      </w:r>
      <w:r w:rsidR="002E466A">
        <w:t xml:space="preserve"> </w:t>
      </w:r>
      <w:r w:rsidRPr="005316C8">
        <w:t>Now, as we will see from our discussion below,</w:t>
      </w:r>
      <w:r w:rsidR="00300806">
        <w:t xml:space="preserve"> </w:t>
      </w:r>
      <w:r w:rsidR="007031B1" w:rsidRPr="007031B1">
        <w:rPr>
          <w:i/>
          <w:iCs/>
        </w:rPr>
        <w:t>jihád</w:t>
      </w:r>
      <w:r w:rsidRPr="005316C8">
        <w:t xml:space="preserve"> was never conditioned on calculating its success.</w:t>
      </w:r>
      <w:r w:rsidR="002E466A">
        <w:t xml:space="preserve"> </w:t>
      </w:r>
      <w:r w:rsidRPr="005316C8">
        <w:t xml:space="preserve"> By its very nature, holy</w:t>
      </w:r>
      <w:r w:rsidR="00300806">
        <w:t xml:space="preserve"> </w:t>
      </w:r>
      <w:r w:rsidRPr="005316C8">
        <w:t>war is based strictly on an intrinsic, moral justification, not an extrinsic,</w:t>
      </w:r>
      <w:r w:rsidR="00300806">
        <w:t xml:space="preserve"> </w:t>
      </w:r>
      <w:r w:rsidRPr="005316C8">
        <w:t>power-seeking one.</w:t>
      </w:r>
      <w:r w:rsidR="002E466A">
        <w:t xml:space="preserve"> </w:t>
      </w:r>
      <w:r w:rsidRPr="005316C8">
        <w:t xml:space="preserve"> Indeed, in characterizing the Bábí attitudes at Zanján,</w:t>
      </w:r>
      <w:r w:rsidR="00300806">
        <w:t xml:space="preserve"> </w:t>
      </w:r>
      <w:r w:rsidRPr="005316C8">
        <w:t xml:space="preserve">MacEoin has said:  ‘We can see the role played here, as at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</w:t>
      </w:r>
      <w:r w:rsidR="00300806">
        <w:t xml:space="preserve"> </w:t>
      </w:r>
      <w:r w:rsidRPr="005316C8">
        <w:t xml:space="preserve">by religious fanaticism and a characteristically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‘í fascination with martyrdom’.</w:t>
      </w:r>
      <w:r w:rsidR="002E466A">
        <w:rPr>
          <w:rStyle w:val="EndnoteReference"/>
        </w:rPr>
        <w:endnoteReference w:id="18"/>
      </w:r>
      <w:r w:rsidRPr="005316C8">
        <w:t xml:space="preserve">  Would people who are fanatically religious and fascinated with</w:t>
      </w:r>
      <w:r w:rsidR="00300806">
        <w:t xml:space="preserve"> </w:t>
      </w:r>
      <w:r w:rsidRPr="005316C8">
        <w:t>martyrdom be reluctant to declare a holy war because they calculate that</w:t>
      </w:r>
      <w:r w:rsidR="00300806">
        <w:t xml:space="preserve"> </w:t>
      </w:r>
      <w:r w:rsidRPr="005316C8">
        <w:t xml:space="preserve">there is no chance of success? </w:t>
      </w:r>
      <w:r w:rsidR="002E466A">
        <w:t xml:space="preserve"> </w:t>
      </w:r>
      <w:r w:rsidRPr="005316C8">
        <w:t>Would they even make such a calculation?</w:t>
      </w:r>
      <w:r w:rsidR="00300806">
        <w:t xml:space="preserve">  </w:t>
      </w:r>
      <w:r w:rsidRPr="005316C8">
        <w:t>Furthermore, no one disputes the fact that the Bábís did fight, and fight</w:t>
      </w:r>
      <w:r w:rsidR="00300806">
        <w:t xml:space="preserve"> </w:t>
      </w:r>
      <w:r w:rsidRPr="005316C8">
        <w:t xml:space="preserve">heroically, against incredible odds. </w:t>
      </w:r>
      <w:r w:rsidR="002E466A">
        <w:t xml:space="preserve"> </w:t>
      </w:r>
      <w:r w:rsidRPr="005316C8">
        <w:t>Once it became evident to the Bábís that</w:t>
      </w:r>
      <w:r w:rsidR="00300806">
        <w:t xml:space="preserve"> </w:t>
      </w:r>
      <w:r w:rsidRPr="005316C8">
        <w:t>a fight was unavoidable and that their own deaths as martyrs were likely,</w:t>
      </w:r>
      <w:r w:rsidR="00300806">
        <w:t xml:space="preserve"> </w:t>
      </w:r>
      <w:r w:rsidRPr="005316C8">
        <w:t xml:space="preserve">what would they lose in declaring </w:t>
      </w:r>
      <w:r w:rsidR="007031B1" w:rsidRPr="007031B1">
        <w:rPr>
          <w:i/>
          <w:iCs/>
        </w:rPr>
        <w:t>jihád</w:t>
      </w:r>
      <w:r w:rsidRPr="005316C8">
        <w:t xml:space="preserve"> if that was, as MacEoin contends,</w:t>
      </w:r>
      <w:r w:rsidR="00300806">
        <w:t xml:space="preserve"> </w:t>
      </w:r>
      <w:r w:rsidRPr="005316C8">
        <w:t>their basic attitude and motive?</w:t>
      </w:r>
      <w:r w:rsidR="002E466A">
        <w:rPr>
          <w:rStyle w:val="EndnoteReference"/>
        </w:rPr>
        <w:endnoteReference w:id="19"/>
      </w:r>
    </w:p>
    <w:p w:rsidR="00357426" w:rsidRPr="005316C8" w:rsidRDefault="00357426" w:rsidP="002E466A">
      <w:pPr>
        <w:pStyle w:val="Text"/>
      </w:pPr>
      <w:r w:rsidRPr="005316C8">
        <w:t xml:space="preserve">If we reject the </w:t>
      </w:r>
      <w:r w:rsidR="007031B1" w:rsidRPr="007031B1">
        <w:rPr>
          <w:i/>
          <w:iCs/>
        </w:rPr>
        <w:t>jihád</w:t>
      </w:r>
      <w:r w:rsidRPr="005316C8">
        <w:t xml:space="preserve"> thesis as inconsistent with the known attitudes and</w:t>
      </w:r>
      <w:r w:rsidR="00300806">
        <w:t xml:space="preserve"> </w:t>
      </w:r>
      <w:r w:rsidRPr="005316C8">
        <w:t>actions of the Bábís as well as the teachings of the Báb, then how can we</w:t>
      </w:r>
      <w:r w:rsidR="00300806">
        <w:t xml:space="preserve"> </w:t>
      </w:r>
      <w:r w:rsidRPr="005316C8">
        <w:t xml:space="preserve">interpret what happened at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Nayríz, and Zanján?  MacEoin</w:t>
      </w:r>
      <w:r w:rsidR="00300806">
        <w:t xml:space="preserve"> </w:t>
      </w:r>
      <w:r w:rsidRPr="005316C8">
        <w:t>tells us that:  ‘Once battle was joined, religious motifs of martyrdom,</w:t>
      </w:r>
      <w:r w:rsidR="00300806">
        <w:t xml:space="preserve"> </w:t>
      </w:r>
      <w:r w:rsidRPr="005316C8">
        <w:t xml:space="preserve">defensive </w:t>
      </w:r>
      <w:r w:rsidR="007031B1" w:rsidRPr="007031B1">
        <w:rPr>
          <w:i/>
          <w:iCs/>
        </w:rPr>
        <w:t>jihád</w:t>
      </w:r>
      <w:r w:rsidRPr="005316C8">
        <w:t xml:space="preserve"> and “perfecting the proof” (i.e. demonstrating the truth of the</w:t>
      </w:r>
      <w:r w:rsidR="00300806">
        <w:t xml:space="preserve"> </w:t>
      </w:r>
      <w:r w:rsidRPr="005316C8">
        <w:t>cause in the eyes of men) took precedence over social, economic, and other</w:t>
      </w:r>
      <w:r w:rsidR="00300806">
        <w:t xml:space="preserve"> </w:t>
      </w:r>
      <w:r w:rsidRPr="005316C8">
        <w:t>features.’</w:t>
      </w:r>
      <w:r w:rsidR="002E466A">
        <w:rPr>
          <w:rStyle w:val="EndnoteReference"/>
        </w:rPr>
        <w:endnoteReference w:id="20"/>
      </w:r>
      <w:r w:rsidRPr="005316C8">
        <w:t xml:space="preserve">  This is beginning to sound extremely close to Townshend’s</w:t>
      </w:r>
      <w:r w:rsidR="00300806">
        <w:t xml:space="preserve"> </w:t>
      </w:r>
      <w:r w:rsidRPr="005316C8">
        <w:t xml:space="preserve">description of a defensive action in response to religious persecution. </w:t>
      </w:r>
      <w:r w:rsidR="002E466A">
        <w:t xml:space="preserve"> </w:t>
      </w:r>
      <w:r w:rsidRPr="005316C8">
        <w:t>What,</w:t>
      </w:r>
      <w:r w:rsidR="00300806">
        <w:t xml:space="preserve"> </w:t>
      </w:r>
      <w:r w:rsidRPr="005316C8">
        <w:t xml:space="preserve">after all, is a ‘defensive </w:t>
      </w:r>
      <w:r w:rsidR="007031B1" w:rsidRPr="007031B1">
        <w:rPr>
          <w:i/>
          <w:iCs/>
        </w:rPr>
        <w:t>jihád</w:t>
      </w:r>
      <w:r w:rsidRPr="005316C8">
        <w:t>’ but a defensive action undertaken for religious</w:t>
      </w:r>
      <w:r w:rsidR="00300806">
        <w:t xml:space="preserve"> </w:t>
      </w:r>
      <w:r w:rsidRPr="005316C8">
        <w:t xml:space="preserve">motives? </w:t>
      </w:r>
      <w:r w:rsidR="002E466A">
        <w:t xml:space="preserve"> </w:t>
      </w:r>
      <w:r w:rsidRPr="005316C8">
        <w:t>A defensive action is one taken in response to prior aggression on</w:t>
      </w:r>
      <w:r w:rsidR="00300806">
        <w:t xml:space="preserve"> </w:t>
      </w:r>
      <w:r w:rsidRPr="005316C8">
        <w:t>the part of others.</w:t>
      </w:r>
      <w:r w:rsidR="002E466A">
        <w:rPr>
          <w:rStyle w:val="EndnoteReference"/>
        </w:rPr>
        <w:endnoteReference w:id="21"/>
      </w:r>
    </w:p>
    <w:p w:rsidR="00357426" w:rsidRDefault="00357426" w:rsidP="002E466A">
      <w:pPr>
        <w:pStyle w:val="Text"/>
      </w:pPr>
      <w:r w:rsidRPr="005316C8">
        <w:t>Thus, in the end, MacEoin’s analysis appears to support in its essentials</w:t>
      </w:r>
      <w:r w:rsidR="00300806">
        <w:t xml:space="preserve"> </w:t>
      </w:r>
      <w:r w:rsidRPr="005316C8">
        <w:t>the interpretation of these events given by ‘Abdu’l-Bahá and Shoghi Effendi,</w:t>
      </w:r>
      <w:r w:rsidR="00300806">
        <w:t xml:space="preserve"> </w:t>
      </w:r>
      <w:r w:rsidRPr="005316C8">
        <w:t xml:space="preserve">to render doubtful or at least highly suspect the </w:t>
      </w:r>
      <w:r w:rsidR="007031B1" w:rsidRPr="007031B1">
        <w:rPr>
          <w:i/>
          <w:iCs/>
        </w:rPr>
        <w:t>jihád</w:t>
      </w:r>
      <w:r w:rsidRPr="005316C8">
        <w:t xml:space="preserve"> thesis, and to discredit</w:t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Textcts"/>
      </w:pPr>
      <w:r w:rsidRPr="005316C8">
        <w:lastRenderedPageBreak/>
        <w:t>completely any view which ascribes political or power-seeking motives to the</w:t>
      </w:r>
      <w:r w:rsidR="00300806">
        <w:t xml:space="preserve"> </w:t>
      </w:r>
      <w:r w:rsidRPr="005316C8">
        <w:t>Bábís.</w:t>
      </w:r>
    </w:p>
    <w:p w:rsidR="00357426" w:rsidRPr="005316C8" w:rsidRDefault="00357426" w:rsidP="002E466A">
      <w:pPr>
        <w:pStyle w:val="Myhead"/>
      </w:pPr>
      <w:r w:rsidRPr="005316C8">
        <w:t>T</w:t>
      </w:r>
      <w:r w:rsidR="002E466A" w:rsidRPr="005316C8">
        <w:t xml:space="preserve">he nature of the </w:t>
      </w:r>
      <w:r w:rsidRPr="005316C8">
        <w:t>B</w:t>
      </w:r>
      <w:r w:rsidR="002E466A" w:rsidRPr="005316C8">
        <w:t>áb’s claims</w:t>
      </w:r>
    </w:p>
    <w:p w:rsidR="00357426" w:rsidRPr="005316C8" w:rsidRDefault="00357426" w:rsidP="00357426">
      <w:pPr>
        <w:pStyle w:val="Text"/>
      </w:pPr>
      <w:r w:rsidRPr="005316C8">
        <w:t xml:space="preserve">An essential aspect of the </w:t>
      </w:r>
      <w:r w:rsidR="007031B1" w:rsidRPr="007031B1">
        <w:rPr>
          <w:i/>
          <w:iCs/>
        </w:rPr>
        <w:t>jihád</w:t>
      </w:r>
      <w:r w:rsidRPr="005316C8">
        <w:t xml:space="preserve"> thesis as presented in </w:t>
      </w:r>
      <w:r w:rsidR="007031B1" w:rsidRPr="007031B1">
        <w:rPr>
          <w:i/>
          <w:iCs/>
        </w:rPr>
        <w:t>Concept</w:t>
      </w:r>
      <w:r w:rsidRPr="005316C8">
        <w:t xml:space="preserve"> is the notion</w:t>
      </w:r>
      <w:r w:rsidR="00300806">
        <w:t xml:space="preserve"> </w:t>
      </w:r>
      <w:r w:rsidRPr="005316C8">
        <w:t>that the Báb progressively changed the basic character of his claims during</w:t>
      </w:r>
      <w:r w:rsidR="00300806">
        <w:t xml:space="preserve"> </w:t>
      </w:r>
      <w:r w:rsidRPr="005316C8">
        <w:t xml:space="preserve">the evolution of his six-year ministry (from 1844 to 1850). </w:t>
      </w:r>
      <w:r w:rsidR="002E466A">
        <w:t xml:space="preserve"> </w:t>
      </w:r>
      <w:r w:rsidRPr="005316C8">
        <w:t>Here is MacEoin’s</w:t>
      </w:r>
      <w:r w:rsidR="00300806">
        <w:t xml:space="preserve"> </w:t>
      </w:r>
      <w:r w:rsidRPr="005316C8">
        <w:t>statement of the matter:</w:t>
      </w:r>
    </w:p>
    <w:p w:rsidR="00357426" w:rsidRPr="005316C8" w:rsidRDefault="00357426" w:rsidP="002E466A">
      <w:pPr>
        <w:pStyle w:val="Quote"/>
      </w:pPr>
      <w:r w:rsidRPr="005316C8">
        <w:t xml:space="preserve">In its earliest phase (to 1848), Babism grew rapidly </w:t>
      </w:r>
      <w:r w:rsidR="002E466A">
        <w:t>…</w:t>
      </w:r>
      <w:r w:rsidRPr="005316C8">
        <w:t xml:space="preserve"> as an expression of</w:t>
      </w:r>
      <w:r w:rsidR="00300806">
        <w:t xml:space="preserve"> </w:t>
      </w:r>
      <w:r w:rsidRPr="005316C8">
        <w:t>extreme Islamic pietism animated by urgent expectation of the return of the</w:t>
      </w:r>
      <w:r w:rsidR="00300806">
        <w:t xml:space="preserve"> </w:t>
      </w:r>
      <w:r w:rsidRPr="005316C8">
        <w:t>Hidden Imám in his messianic persona as the Im</w:t>
      </w:r>
      <w:r w:rsidR="002E466A" w:rsidRPr="002E466A">
        <w:t>á</w:t>
      </w:r>
      <w:r w:rsidRPr="005316C8">
        <w:t>m Mahdí, Sayyid ‘Alí</w:t>
      </w:r>
      <w:r w:rsidR="00300806">
        <w:t xml:space="preserve"> </w:t>
      </w:r>
      <w:r w:rsidRPr="005316C8">
        <w:t>Muḥammad being his agent or ‘gate’ (báb) on earth.</w:t>
      </w:r>
      <w:r w:rsidR="002E466A">
        <w:t xml:space="preserve"> </w:t>
      </w:r>
      <w:r w:rsidRPr="005316C8">
        <w:t xml:space="preserve"> In its brief second phase</w:t>
      </w:r>
      <w:r w:rsidR="00300806">
        <w:t xml:space="preserve"> </w:t>
      </w:r>
      <w:r w:rsidRPr="005316C8">
        <w:t xml:space="preserve">(1848–9), </w:t>
      </w:r>
      <w:r w:rsidR="002E466A">
        <w:t>…</w:t>
      </w:r>
      <w:r w:rsidRPr="005316C8">
        <w:t xml:space="preserve"> the Báb </w:t>
      </w:r>
      <w:r w:rsidR="002E466A">
        <w:t>…</w:t>
      </w:r>
      <w:r w:rsidRPr="005316C8">
        <w:t xml:space="preserve"> proclaimed himself the promised Mahdí in person. </w:t>
      </w:r>
      <w:r w:rsidR="002E466A">
        <w:t xml:space="preserve"> </w:t>
      </w:r>
      <w:r w:rsidRPr="005316C8">
        <w:t>A</w:t>
      </w:r>
      <w:r w:rsidR="00300806">
        <w:t xml:space="preserve"> </w:t>
      </w:r>
      <w:r w:rsidRPr="005316C8">
        <w:t>third phase followed, initiated by the Báb’s rapid assumption of the role of an</w:t>
      </w:r>
      <w:r w:rsidR="00300806">
        <w:t xml:space="preserve"> </w:t>
      </w:r>
      <w:r w:rsidRPr="005316C8">
        <w:t>independent prophet or divine ‘manifestation’ directly empowered by God to</w:t>
      </w:r>
      <w:r w:rsidR="00300806">
        <w:t xml:space="preserve"> </w:t>
      </w:r>
      <w:r w:rsidRPr="005316C8">
        <w:t>open a new religious dispensation after Islam, to reveal new scriptures and to</w:t>
      </w:r>
      <w:r w:rsidR="00300806">
        <w:t xml:space="preserve"> </w:t>
      </w:r>
      <w:r w:rsidRPr="005316C8">
        <w:t>ordain a new legal system.</w:t>
      </w:r>
      <w:r w:rsidR="002E466A">
        <w:rPr>
          <w:rStyle w:val="EndnoteReference"/>
        </w:rPr>
        <w:endnoteReference w:id="22"/>
      </w:r>
    </w:p>
    <w:p w:rsidR="00357426" w:rsidRPr="005316C8" w:rsidRDefault="00357426" w:rsidP="002E466A">
      <w:pPr>
        <w:pStyle w:val="Text"/>
      </w:pPr>
      <w:r w:rsidRPr="005316C8">
        <w:t>Neither the historical facts nor the Báb’s writings justify this simplistic</w:t>
      </w:r>
      <w:r w:rsidR="00300806">
        <w:t xml:space="preserve"> </w:t>
      </w:r>
      <w:r w:rsidRPr="005316C8">
        <w:t>attempt to divide the Báb’s ministry into strict, sequential periods, each</w:t>
      </w:r>
      <w:r w:rsidR="00300806">
        <w:t xml:space="preserve"> </w:t>
      </w:r>
      <w:r w:rsidRPr="005316C8">
        <w:t xml:space="preserve">period represented by a characteristic claim. </w:t>
      </w:r>
      <w:r w:rsidR="002E466A">
        <w:t xml:space="preserve"> </w:t>
      </w:r>
      <w:r w:rsidRPr="005316C8">
        <w:t>For example, the Báb’s claims</w:t>
      </w:r>
      <w:r w:rsidR="00300806">
        <w:t xml:space="preserve"> </w:t>
      </w:r>
      <w:r w:rsidRPr="005316C8">
        <w:t>both to be an independent Manifestation of God, the so-called third phase</w:t>
      </w:r>
      <w:r w:rsidR="00300806">
        <w:t xml:space="preserve"> </w:t>
      </w:r>
      <w:r w:rsidRPr="005316C8">
        <w:t>quoted above, as well as to be the promised Mahdí or Qá’im, are easily seen to</w:t>
      </w:r>
      <w:r w:rsidR="00300806">
        <w:t xml:space="preserve"> </w:t>
      </w:r>
      <w:r w:rsidRPr="005316C8">
        <w:t xml:space="preserve">be already expressed in his initial work, the </w:t>
      </w:r>
      <w:r w:rsidR="002E466A" w:rsidRPr="002E466A">
        <w:rPr>
          <w:i/>
          <w:iCs/>
        </w:rPr>
        <w:t>Qayyúmu’l-Asmá’</w:t>
      </w:r>
      <w:r w:rsidRPr="005316C8">
        <w:t>, written in</w:t>
      </w:r>
      <w:r w:rsidR="00300806">
        <w:t xml:space="preserve"> </w:t>
      </w:r>
      <w:r w:rsidRPr="005316C8">
        <w:t xml:space="preserve">1844. </w:t>
      </w:r>
      <w:r w:rsidR="002E466A">
        <w:t xml:space="preserve"> </w:t>
      </w:r>
      <w:r w:rsidRPr="005316C8">
        <w:t>In this work, the Báb refers to himself and to his rank using terms</w:t>
      </w:r>
      <w:r w:rsidR="00300806">
        <w:t xml:space="preserve"> </w:t>
      </w:r>
      <w:r w:rsidRPr="005316C8">
        <w:t>which were understood and accepted by his Islamic audience as applicable</w:t>
      </w:r>
      <w:r w:rsidR="00300806">
        <w:t xml:space="preserve"> </w:t>
      </w:r>
      <w:r w:rsidRPr="005316C8">
        <w:t>only to an independent Manifestation of God.</w:t>
      </w:r>
      <w:r w:rsidR="002E466A">
        <w:rPr>
          <w:rStyle w:val="EndnoteReference"/>
        </w:rPr>
        <w:endnoteReference w:id="23"/>
      </w:r>
    </w:p>
    <w:p w:rsidR="00357426" w:rsidRPr="005316C8" w:rsidRDefault="00357426" w:rsidP="002E466A">
      <w:pPr>
        <w:pStyle w:val="Text"/>
      </w:pPr>
      <w:r w:rsidRPr="005316C8">
        <w:t>That the nature of the Báb’s claims were perceived by those who read the</w:t>
      </w:r>
      <w:r w:rsidR="00300806">
        <w:t xml:space="preserve"> </w:t>
      </w:r>
      <w:r w:rsidR="002E466A" w:rsidRPr="002E466A">
        <w:rPr>
          <w:i/>
          <w:iCs/>
        </w:rPr>
        <w:t>Qayyúmu’l-Asmá’</w:t>
      </w:r>
      <w:r w:rsidRPr="005316C8">
        <w:t xml:space="preserve"> is illustrated by an incident which shortly followed the</w:t>
      </w:r>
      <w:r w:rsidR="00300806">
        <w:t xml:space="preserve"> </w:t>
      </w:r>
      <w:r w:rsidRPr="005316C8">
        <w:t>Báb’s initial declaration of his mission in May 1844, and the composition of</w:t>
      </w:r>
      <w:r w:rsidR="00300806">
        <w:t xml:space="preserve"> </w:t>
      </w:r>
      <w:r w:rsidRPr="005316C8">
        <w:t xml:space="preserve">the </w:t>
      </w:r>
      <w:r w:rsidR="002E466A" w:rsidRPr="002E466A">
        <w:rPr>
          <w:i/>
          <w:iCs/>
        </w:rPr>
        <w:t>Qayyúmu’l-Asmá’</w:t>
      </w:r>
      <w:r w:rsidRPr="005316C8">
        <w:t xml:space="preserve">. </w:t>
      </w:r>
      <w:r w:rsidR="002E466A">
        <w:t xml:space="preserve"> </w:t>
      </w:r>
      <w:r w:rsidRPr="005316C8">
        <w:t>In order to understand the full significance of this</w:t>
      </w:r>
      <w:r w:rsidR="00300806">
        <w:t xml:space="preserve"> </w:t>
      </w:r>
      <w:r w:rsidRPr="005316C8">
        <w:t>incident, it will be necessary to summarize briefly some of the basic facts and</w:t>
      </w:r>
      <w:r w:rsidR="00300806">
        <w:t xml:space="preserve"> </w:t>
      </w:r>
      <w:r w:rsidRPr="005316C8">
        <w:t>events connected with the birth of the Bábí Faith.</w:t>
      </w:r>
    </w:p>
    <w:p w:rsidR="00357426" w:rsidRPr="005316C8" w:rsidRDefault="00357426" w:rsidP="002E466A">
      <w:pPr>
        <w:pStyle w:val="Text"/>
      </w:pPr>
      <w:r w:rsidRPr="005316C8">
        <w:t>In late 18th century ‘Iráq and Írán, there began a reform movement</w:t>
      </w:r>
      <w:r w:rsidR="00300806">
        <w:t xml:space="preserve"> </w:t>
      </w:r>
      <w:r w:rsidRPr="005316C8">
        <w:t xml:space="preserve">within ‘Twelver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 xml:space="preserve">‘ih Islám known as </w:t>
      </w:r>
      <w:r w:rsidR="007031B1" w:rsidRPr="00426A8A">
        <w:t>Shaykh</w:t>
      </w:r>
      <w:r w:rsidRPr="005316C8">
        <w:t xml:space="preserve">ism, after its founder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="00300806">
        <w:t xml:space="preserve"> </w:t>
      </w:r>
      <w:r w:rsidRPr="005316C8">
        <w:t>Aḥmad-i-Aḥsá’í.</w:t>
      </w:r>
      <w:r w:rsidR="002E466A">
        <w:rPr>
          <w:rStyle w:val="EndnoteReference"/>
        </w:rPr>
        <w:endnoteReference w:id="24"/>
      </w:r>
      <w:r w:rsidRPr="005316C8">
        <w:t xml:space="preserve">  At that late stage in its history, Islám and the Islamic</w:t>
      </w:r>
      <w:r w:rsidR="00300806">
        <w:t xml:space="preserve"> </w:t>
      </w:r>
      <w:r w:rsidRPr="005316C8">
        <w:t>world had sunk into a state of extreme depravity and corruption.</w:t>
      </w:r>
      <w:r w:rsidR="002E466A">
        <w:t xml:space="preserve"> </w:t>
      </w:r>
      <w:r w:rsidRPr="005316C8">
        <w:t xml:space="preserve"> The world</w:t>
      </w:r>
      <w:r w:rsidR="00300806">
        <w:t xml:space="preserve"> </w:t>
      </w:r>
      <w:r w:rsidRPr="005316C8">
        <w:t xml:space="preserve">of </w:t>
      </w:r>
      <w:r w:rsidR="002E466A" w:rsidRPr="002E466A">
        <w:t>Sh</w:t>
      </w:r>
      <w:r w:rsidR="002E466A">
        <w:t>i</w:t>
      </w:r>
      <w:r w:rsidRPr="005316C8">
        <w:t xml:space="preserve">‘ism was effectively ruled by the ‘ulamá, the religious leaders. </w:t>
      </w:r>
      <w:r w:rsidR="002E466A">
        <w:t xml:space="preserve"> </w:t>
      </w:r>
      <w:r w:rsidRPr="005316C8">
        <w:t>The</w:t>
      </w:r>
      <w:r w:rsidR="00300806">
        <w:t xml:space="preserve"> </w:t>
      </w:r>
      <w:r w:rsidRPr="005316C8">
        <w:t>brilliance of Islamic thought of the medieval period was replaced by a rigid</w:t>
      </w:r>
      <w:r w:rsidR="00300806">
        <w:t xml:space="preserve"> </w:t>
      </w:r>
      <w:r w:rsidRPr="005316C8">
        <w:t xml:space="preserve">orthodoxy and extreme fundamentalism. </w:t>
      </w:r>
      <w:r w:rsidR="002E466A">
        <w:t xml:space="preserve"> </w:t>
      </w:r>
      <w:r w:rsidRPr="005316C8">
        <w:t>Moral degeneracy, bribery, and</w:t>
      </w:r>
      <w:r w:rsidR="00300806">
        <w:t xml:space="preserve"> </w:t>
      </w:r>
      <w:r w:rsidRPr="005316C8">
        <w:t>venality were rampant.</w:t>
      </w:r>
      <w:r w:rsidR="002E466A">
        <w:rPr>
          <w:rStyle w:val="EndnoteReference"/>
        </w:rPr>
        <w:endnoteReference w:id="25"/>
      </w:r>
      <w:r w:rsidRPr="005316C8">
        <w:t xml:space="preserve">  It was amidst such a sad state of affairs that</w:t>
      </w:r>
      <w:r w:rsidR="00300806">
        <w:t xml:space="preserve">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Aḥmad arose in an attempt to lead his fellow believers to a more</w:t>
      </w:r>
      <w:r w:rsidR="00300806">
        <w:t xml:space="preserve"> </w:t>
      </w:r>
      <w:r w:rsidRPr="005316C8">
        <w:t xml:space="preserve">subtle and spiritual concept of religion. </w:t>
      </w:r>
      <w:r w:rsidR="00426A8A">
        <w:t xml:space="preserve"> </w:t>
      </w:r>
      <w:r w:rsidRPr="005316C8">
        <w:t>He gave symbolic rather than literal</w:t>
      </w:r>
    </w:p>
    <w:p w:rsidR="002E466A" w:rsidRDefault="002E466A" w:rsidP="008C02BB">
      <w:r>
        <w:br w:type="page"/>
      </w:r>
    </w:p>
    <w:p w:rsidR="00357426" w:rsidRPr="005316C8" w:rsidRDefault="00357426" w:rsidP="00300806">
      <w:pPr>
        <w:pStyle w:val="Textcts"/>
      </w:pPr>
      <w:r w:rsidRPr="005316C8">
        <w:lastRenderedPageBreak/>
        <w:t>interpretations to many of the traditional Islamic beliefs and taught that the</w:t>
      </w:r>
      <w:r w:rsidR="00300806">
        <w:t xml:space="preserve"> </w:t>
      </w:r>
      <w:r w:rsidRPr="005316C8">
        <w:t>‘resurrection’ of believers was to be spiritual and not bodily.</w:t>
      </w:r>
      <w:r w:rsidR="002E466A">
        <w:t xml:space="preserve"> </w:t>
      </w:r>
      <w:r w:rsidRPr="005316C8">
        <w:t xml:space="preserve"> At his death in</w:t>
      </w:r>
      <w:r w:rsidR="00300806">
        <w:t xml:space="preserve"> </w:t>
      </w:r>
      <w:r w:rsidRPr="005316C8">
        <w:t xml:space="preserve">1826 he was succeeded by Siyyid Káẓim-i-Rashtí. </w:t>
      </w:r>
      <w:r w:rsidR="002E466A">
        <w:t xml:space="preserve"> </w:t>
      </w:r>
      <w:r w:rsidRPr="005316C8">
        <w:t>The latter continued the</w:t>
      </w:r>
      <w:r w:rsidR="00300806">
        <w:t xml:space="preserve"> </w:t>
      </w:r>
      <w:r w:rsidRPr="005316C8">
        <w:t xml:space="preserve">doctrines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Aḥmad, but laid increasing emphasis on teaching the</w:t>
      </w:r>
      <w:r w:rsidR="00300806">
        <w:t xml:space="preserve"> </w:t>
      </w:r>
      <w:r w:rsidRPr="005316C8">
        <w:t xml:space="preserve">imminent advent of the Mahdí (Qá’im), the Promised One of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‘ih Islám.</w:t>
      </w:r>
      <w:r w:rsidR="00300806">
        <w:t xml:space="preserve">  </w:t>
      </w:r>
      <w:r w:rsidRPr="005316C8">
        <w:t xml:space="preserve">So much was this so that, at his death in January, 1844, </w:t>
      </w:r>
      <w:r w:rsidR="007031B1" w:rsidRPr="00426A8A">
        <w:t>Shaykh</w:t>
      </w:r>
      <w:r w:rsidRPr="005316C8">
        <w:t>ism had been</w:t>
      </w:r>
      <w:r w:rsidR="00300806">
        <w:t xml:space="preserve"> </w:t>
      </w:r>
      <w:r w:rsidRPr="005316C8">
        <w:t>largely transformed into a movement of messianic adventism.</w:t>
      </w:r>
    </w:p>
    <w:p w:rsidR="00357426" w:rsidRPr="005316C8" w:rsidRDefault="00357426" w:rsidP="00300806">
      <w:pPr>
        <w:pStyle w:val="Text"/>
      </w:pPr>
      <w:r w:rsidRPr="005316C8">
        <w:t>In January 1844, Mullá Ḥusayn-i-</w:t>
      </w:r>
      <w:r w:rsidR="002E466A" w:rsidRPr="005316C8">
        <w:t>Bu</w:t>
      </w:r>
      <w:r w:rsidR="002E466A" w:rsidRPr="002E466A">
        <w:rPr>
          <w:u w:val="single"/>
        </w:rPr>
        <w:t>sh</w:t>
      </w:r>
      <w:r w:rsidR="002E466A" w:rsidRPr="005316C8">
        <w:t>rú’í</w:t>
      </w:r>
      <w:r w:rsidRPr="005316C8">
        <w:t>, one of the chief disciples of</w:t>
      </w:r>
      <w:r w:rsidR="00300806">
        <w:t xml:space="preserve"> </w:t>
      </w:r>
      <w:r w:rsidRPr="005316C8">
        <w:t>the late Siyyid Káẓim, set out to find the Promised One who, Siyyid Káẓim</w:t>
      </w:r>
      <w:r w:rsidR="00300806">
        <w:t xml:space="preserve"> </w:t>
      </w:r>
      <w:r w:rsidRPr="005316C8">
        <w:t>had insisted, was now living in their very midst.</w:t>
      </w:r>
      <w:r w:rsidR="002E466A">
        <w:t xml:space="preserve"> </w:t>
      </w:r>
      <w:r w:rsidRPr="005316C8">
        <w:t xml:space="preserve"> His search led him to the</w:t>
      </w:r>
      <w:r w:rsidR="00300806">
        <w:t xml:space="preserve"> </w:t>
      </w:r>
      <w:r w:rsidRPr="005316C8">
        <w:t xml:space="preserve">city of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ráz in southern Írán where, on 23 May, 1844, Siyyid ‘Alí-Muḥammad, the Báb, disclosed to Mullá Ḥusayn that he was the one</w:t>
      </w:r>
      <w:r w:rsidR="00300806">
        <w:t xml:space="preserve"> </w:t>
      </w:r>
      <w:r w:rsidRPr="005316C8">
        <w:t xml:space="preserve">foretold in unmistakable terms by Siyyid Káẓim. </w:t>
      </w:r>
      <w:r w:rsidR="002E466A">
        <w:t xml:space="preserve"> </w:t>
      </w:r>
      <w:r w:rsidRPr="005316C8">
        <w:t>Mullá Ḥusayn recognized</w:t>
      </w:r>
      <w:r w:rsidR="00300806">
        <w:t xml:space="preserve"> </w:t>
      </w:r>
      <w:r w:rsidRPr="005316C8">
        <w:t>in the Báb the various signs given by Siyyid Káẓim and accepted the Báb as</w:t>
      </w:r>
      <w:r w:rsidR="00300806">
        <w:t xml:space="preserve"> </w:t>
      </w:r>
      <w:r w:rsidRPr="005316C8">
        <w:t>the Promised One.</w:t>
      </w:r>
      <w:r w:rsidR="002E466A">
        <w:t xml:space="preserve"> </w:t>
      </w:r>
      <w:r w:rsidRPr="005316C8">
        <w:t xml:space="preserve"> According to Mullá Ḥusayn’s account, the Báb began the</w:t>
      </w:r>
      <w:r w:rsidR="00300806">
        <w:t xml:space="preserve"> </w:t>
      </w:r>
      <w:r w:rsidRPr="005316C8">
        <w:t xml:space="preserve">composition of the </w:t>
      </w:r>
      <w:r w:rsidR="002E466A" w:rsidRPr="002E466A">
        <w:rPr>
          <w:i/>
          <w:iCs/>
        </w:rPr>
        <w:t>Qayyúmu’l-Asmá’</w:t>
      </w:r>
      <w:r w:rsidRPr="005316C8">
        <w:t xml:space="preserve"> in Mullá Ḥusayn’s presence at their</w:t>
      </w:r>
      <w:r w:rsidR="00300806">
        <w:t xml:space="preserve"> </w:t>
      </w:r>
      <w:r w:rsidRPr="005316C8">
        <w:t xml:space="preserve">very first meeting. </w:t>
      </w:r>
      <w:r w:rsidR="002E466A">
        <w:t xml:space="preserve"> </w:t>
      </w:r>
      <w:r w:rsidRPr="005316C8">
        <w:t>Following the Báb’s explicit instructions, Mullá Ḥusayn</w:t>
      </w:r>
      <w:r w:rsidR="00300806">
        <w:t xml:space="preserve"> </w:t>
      </w:r>
      <w:r w:rsidRPr="005316C8">
        <w:t>refrained for the time being from teaching his new-found Faith.</w:t>
      </w:r>
      <w:r w:rsidR="002E466A">
        <w:rPr>
          <w:rStyle w:val="EndnoteReference"/>
        </w:rPr>
        <w:endnoteReference w:id="26"/>
      </w:r>
    </w:p>
    <w:p w:rsidR="00357426" w:rsidRPr="005316C8" w:rsidRDefault="00357426" w:rsidP="002E466A">
      <w:pPr>
        <w:pStyle w:val="Text"/>
      </w:pPr>
      <w:r w:rsidRPr="005316C8">
        <w:t>Within a number of weeks following the Báb’s declaration of his mission to</w:t>
      </w:r>
      <w:r w:rsidR="00300806">
        <w:t xml:space="preserve"> </w:t>
      </w:r>
      <w:r w:rsidRPr="005316C8">
        <w:t>Mullá Ḥusayn, sixteen other individuals also found their way to the Báb and</w:t>
      </w:r>
      <w:r w:rsidR="00300806">
        <w:t xml:space="preserve"> </w:t>
      </w:r>
      <w:r w:rsidRPr="005316C8">
        <w:t xml:space="preserve">accepted him as the Promised One. </w:t>
      </w:r>
      <w:r w:rsidR="002E466A">
        <w:t xml:space="preserve"> </w:t>
      </w:r>
      <w:r w:rsidRPr="005316C8">
        <w:t>One other person, Ṭáhirih, the only</w:t>
      </w:r>
      <w:r w:rsidR="00300806">
        <w:t xml:space="preserve"> </w:t>
      </w:r>
      <w:r w:rsidRPr="005316C8">
        <w:t>woman, also came to know of the Báb and accept him, but without meeting</w:t>
      </w:r>
      <w:r w:rsidR="00300806">
        <w:t xml:space="preserve"> </w:t>
      </w:r>
      <w:r w:rsidRPr="005316C8">
        <w:t xml:space="preserve">him. </w:t>
      </w:r>
      <w:r w:rsidR="002E466A">
        <w:t xml:space="preserve"> </w:t>
      </w:r>
      <w:r w:rsidRPr="005316C8">
        <w:t>These eighteen disciples of the Báb were designated by him as ‘Letters</w:t>
      </w:r>
      <w:r w:rsidR="00300806">
        <w:t xml:space="preserve"> </w:t>
      </w:r>
      <w:r w:rsidRPr="005316C8">
        <w:t xml:space="preserve">of the Living’. </w:t>
      </w:r>
      <w:r w:rsidR="002E466A">
        <w:t xml:space="preserve"> </w:t>
      </w:r>
      <w:r w:rsidRPr="005316C8">
        <w:t>They were sent forth by the Báb throughout Persia and</w:t>
      </w:r>
      <w:r w:rsidR="00300806">
        <w:t xml:space="preserve"> </w:t>
      </w:r>
      <w:r w:rsidRPr="005316C8">
        <w:t>adjoining regions to teach his Faith.</w:t>
      </w:r>
      <w:r w:rsidR="002E466A">
        <w:t xml:space="preserve"> </w:t>
      </w:r>
      <w:r w:rsidRPr="005316C8">
        <w:t xml:space="preserve"> These events transpired during the</w:t>
      </w:r>
      <w:r w:rsidR="00300806">
        <w:t xml:space="preserve"> </w:t>
      </w:r>
      <w:r w:rsidRPr="005316C8">
        <w:t>Summer of 1844.</w:t>
      </w:r>
      <w:r w:rsidR="002E466A">
        <w:rPr>
          <w:rStyle w:val="EndnoteReference"/>
        </w:rPr>
        <w:endnoteReference w:id="27"/>
      </w:r>
    </w:p>
    <w:p w:rsidR="00357426" w:rsidRPr="005316C8" w:rsidRDefault="00357426" w:rsidP="00300806">
      <w:pPr>
        <w:pStyle w:val="Text"/>
      </w:pPr>
      <w:r w:rsidRPr="005316C8">
        <w:t xml:space="preserve">One of the Letters of the Living (the second, in fact) was Mullá ‘Alíy-i-Basṭámí. </w:t>
      </w:r>
      <w:r w:rsidR="002E466A">
        <w:t xml:space="preserve"> </w:t>
      </w:r>
      <w:r w:rsidRPr="005316C8">
        <w:t xml:space="preserve">He, like Mullá Ḥusayn, had been a leading member of the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>í</w:t>
      </w:r>
      <w:r w:rsidR="00300806">
        <w:t xml:space="preserve"> </w:t>
      </w:r>
      <w:r w:rsidRPr="005316C8">
        <w:t xml:space="preserve">community. </w:t>
      </w:r>
      <w:r w:rsidR="002E466A">
        <w:t xml:space="preserve"> </w:t>
      </w:r>
      <w:r w:rsidRPr="005316C8">
        <w:t>He was given the specific task by the Báb of returning to the</w:t>
      </w:r>
      <w:r w:rsidR="00300806">
        <w:t xml:space="preserve"> </w:t>
      </w:r>
      <w:r w:rsidRPr="005316C8">
        <w:t xml:space="preserve">region of Karbilá, the heartland of </w:t>
      </w:r>
      <w:r w:rsidR="007031B1" w:rsidRPr="00426A8A">
        <w:t>Shaykh</w:t>
      </w:r>
      <w:r w:rsidRPr="005316C8">
        <w:t>ism, and of proclaiming there the</w:t>
      </w:r>
      <w:r w:rsidR="00300806">
        <w:t xml:space="preserve"> </w:t>
      </w:r>
      <w:r w:rsidRPr="005316C8">
        <w:t>new Faith.</w:t>
      </w:r>
      <w:r w:rsidR="002E466A">
        <w:t xml:space="preserve"> </w:t>
      </w:r>
      <w:r w:rsidRPr="005316C8">
        <w:t xml:space="preserve"> He was not, however, to divulge the identity of the Báb, but only</w:t>
      </w:r>
      <w:r w:rsidR="00300806">
        <w:t xml:space="preserve"> </w:t>
      </w:r>
      <w:r w:rsidRPr="005316C8">
        <w:t>to proclaim that he had, in fact, appeared.</w:t>
      </w:r>
    </w:p>
    <w:p w:rsidR="00357426" w:rsidRPr="005316C8" w:rsidRDefault="00357426" w:rsidP="002E466A">
      <w:pPr>
        <w:pStyle w:val="Text"/>
      </w:pPr>
      <w:r w:rsidRPr="005316C8">
        <w:t>Arising to fulfill this task given him by the Báb, Mullá ‘Alí arrived in</w:t>
      </w:r>
      <w:r w:rsidR="00300806">
        <w:t xml:space="preserve"> </w:t>
      </w:r>
      <w:r w:rsidRPr="005316C8">
        <w:t>‘Iráq in early August 1844.</w:t>
      </w:r>
      <w:r w:rsidR="002E466A">
        <w:rPr>
          <w:rStyle w:val="EndnoteReference"/>
        </w:rPr>
        <w:endnoteReference w:id="28"/>
      </w:r>
      <w:r w:rsidRPr="005316C8">
        <w:t xml:space="preserve">  He immediately embarked on the mission of</w:t>
      </w:r>
      <w:r w:rsidR="00300806">
        <w:t xml:space="preserve"> </w:t>
      </w:r>
      <w:r w:rsidRPr="005316C8">
        <w:t xml:space="preserve">proclaiming the advent of the Báb. </w:t>
      </w:r>
      <w:r w:rsidR="002E466A">
        <w:t xml:space="preserve"> </w:t>
      </w:r>
      <w:r w:rsidRPr="005316C8">
        <w:t>As a proof of the validity of the new</w:t>
      </w:r>
      <w:r w:rsidR="00300806">
        <w:t xml:space="preserve"> </w:t>
      </w:r>
      <w:r w:rsidRPr="005316C8">
        <w:t xml:space="preserve">revelation, he produced and circulated copies of the </w:t>
      </w:r>
      <w:r w:rsidR="002E466A" w:rsidRPr="002E466A">
        <w:rPr>
          <w:i/>
          <w:iCs/>
        </w:rPr>
        <w:t>Qayyúmu’l-Asmá’</w:t>
      </w:r>
      <w:r w:rsidRPr="005316C8">
        <w:t>.</w:t>
      </w:r>
      <w:r w:rsidR="002E466A">
        <w:rPr>
          <w:rStyle w:val="EndnoteReference"/>
        </w:rPr>
        <w:endnoteReference w:id="29"/>
      </w:r>
    </w:p>
    <w:p w:rsidR="002E466A" w:rsidRDefault="00357426" w:rsidP="00300806">
      <w:pPr>
        <w:pStyle w:val="Text"/>
      </w:pPr>
      <w:r w:rsidRPr="005316C8">
        <w:t>The impact which this work of the Báb had on the population of ‘Iráq was</w:t>
      </w:r>
      <w:r w:rsidR="00300806">
        <w:t xml:space="preserve"> </w:t>
      </w:r>
      <w:r w:rsidRPr="005316C8">
        <w:t xml:space="preserve">immediate and dramatic. </w:t>
      </w:r>
      <w:r w:rsidR="002E466A">
        <w:t xml:space="preserve"> </w:t>
      </w:r>
      <w:r w:rsidRPr="005316C8">
        <w:t>The implications of the claims and teachings it</w:t>
      </w:r>
      <w:r w:rsidR="00300806">
        <w:t xml:space="preserve"> </w:t>
      </w:r>
      <w:r w:rsidRPr="005316C8">
        <w:t>contained, coupled with the fearless and public pronouncements of Mullá</w:t>
      </w:r>
      <w:r w:rsidR="00300806">
        <w:t xml:space="preserve"> </w:t>
      </w:r>
      <w:r w:rsidRPr="005316C8">
        <w:t xml:space="preserve">‘Alíy-i-Basṭámí, led to his arrest and eventual imprisonment in </w:t>
      </w:r>
      <w:r w:rsidR="002E466A" w:rsidRPr="005316C8">
        <w:t>Ba</w:t>
      </w:r>
      <w:r w:rsidR="002E466A" w:rsidRPr="002E466A">
        <w:rPr>
          <w:u w:val="single"/>
        </w:rPr>
        <w:t>gh</w:t>
      </w:r>
      <w:r w:rsidR="002E466A" w:rsidRPr="005316C8">
        <w:t>dád</w:t>
      </w:r>
      <w:r w:rsidRPr="005316C8">
        <w:t>.</w:t>
      </w:r>
      <w:r w:rsidR="00300806">
        <w:t xml:space="preserve">  </w:t>
      </w:r>
      <w:r w:rsidRPr="005316C8">
        <w:t>After some deliberations as to what should be done with him, the authorities,</w:t>
      </w:r>
      <w:r w:rsidR="00300806">
        <w:t xml:space="preserve"> </w:t>
      </w:r>
      <w:r w:rsidRPr="005316C8">
        <w:t>under the leadership of Najíb Pá</w:t>
      </w:r>
      <w:r w:rsidRPr="002E466A">
        <w:rPr>
          <w:u w:val="single"/>
        </w:rPr>
        <w:t>sh</w:t>
      </w:r>
      <w:r w:rsidRPr="005316C8">
        <w:t>á, convoked a conclave of Sunní and</w:t>
      </w:r>
    </w:p>
    <w:p w:rsidR="002E466A" w:rsidRDefault="002E466A" w:rsidP="002E466A">
      <w:pPr>
        <w:pStyle w:val="Text"/>
      </w:pPr>
      <w:r>
        <w:br w:type="page"/>
      </w:r>
    </w:p>
    <w:p w:rsidR="00357426" w:rsidRPr="005316C8" w:rsidRDefault="002E466A" w:rsidP="002E466A">
      <w:pPr>
        <w:pStyle w:val="Textcts"/>
      </w:pPr>
      <w:r w:rsidRPr="002E466A">
        <w:rPr>
          <w:u w:val="single"/>
        </w:rPr>
        <w:lastRenderedPageBreak/>
        <w:t>Sh</w:t>
      </w:r>
      <w:r w:rsidRPr="005316C8">
        <w:t>í</w:t>
      </w:r>
      <w:r w:rsidR="00357426" w:rsidRPr="005316C8">
        <w:t xml:space="preserve">‘ih ecclesiastics who tried Mullá ‘Alí according to religious law. </w:t>
      </w:r>
      <w:r>
        <w:t xml:space="preserve"> </w:t>
      </w:r>
      <w:r w:rsidR="00357426" w:rsidRPr="005316C8">
        <w:t>This trial</w:t>
      </w:r>
      <w:r w:rsidR="00300806">
        <w:t xml:space="preserve"> </w:t>
      </w:r>
      <w:r w:rsidR="00357426" w:rsidRPr="005316C8">
        <w:t>took place in January, 1845.</w:t>
      </w:r>
    </w:p>
    <w:p w:rsidR="00357426" w:rsidRPr="005316C8" w:rsidRDefault="00357426" w:rsidP="002E466A">
      <w:pPr>
        <w:pStyle w:val="Text"/>
      </w:pPr>
      <w:r w:rsidRPr="005316C8">
        <w:t xml:space="preserve">The result of the trial was an edict or </w:t>
      </w:r>
      <w:r w:rsidR="002E466A" w:rsidRPr="002E466A">
        <w:rPr>
          <w:i/>
          <w:iCs/>
        </w:rPr>
        <w:t>fatwá</w:t>
      </w:r>
      <w:r w:rsidRPr="005316C8">
        <w:t>, which, among other things,</w:t>
      </w:r>
      <w:r w:rsidR="000B7B9C">
        <w:t xml:space="preserve"> </w:t>
      </w:r>
      <w:r w:rsidRPr="005316C8">
        <w:t xml:space="preserve">condemned the </w:t>
      </w:r>
      <w:r w:rsidR="002E466A" w:rsidRPr="002E466A">
        <w:rPr>
          <w:i/>
          <w:iCs/>
        </w:rPr>
        <w:t>Qayyúmu’l-Asmá’</w:t>
      </w:r>
      <w:r w:rsidRPr="005316C8">
        <w:t xml:space="preserve"> as heretical and its unknown author as a</w:t>
      </w:r>
      <w:r w:rsidR="000B7B9C">
        <w:t xml:space="preserve"> </w:t>
      </w:r>
      <w:r w:rsidRPr="005316C8">
        <w:t xml:space="preserve">heretic deserving of death. </w:t>
      </w:r>
      <w:r w:rsidR="002E466A">
        <w:t xml:space="preserve"> </w:t>
      </w:r>
      <w:r w:rsidRPr="005316C8">
        <w:t>This edict was signed by every one of the mullás</w:t>
      </w:r>
      <w:r w:rsidR="000B7B9C">
        <w:t xml:space="preserve"> </w:t>
      </w:r>
      <w:r w:rsidRPr="005316C8">
        <w:t xml:space="preserve">present at the trial. </w:t>
      </w:r>
      <w:r w:rsidR="002E466A">
        <w:t xml:space="preserve"> </w:t>
      </w:r>
      <w:r w:rsidRPr="005316C8">
        <w:t>Mullá ‘Alí was held to merit death and was remanded to</w:t>
      </w:r>
      <w:r w:rsidR="000B7B9C">
        <w:t xml:space="preserve"> </w:t>
      </w:r>
      <w:r w:rsidRPr="005316C8">
        <w:t xml:space="preserve">prison. </w:t>
      </w:r>
      <w:r w:rsidR="002E466A">
        <w:t xml:space="preserve"> </w:t>
      </w:r>
      <w:r w:rsidRPr="005316C8">
        <w:t>He disappeared from view and the exact conditions of his execution</w:t>
      </w:r>
      <w:r w:rsidR="000B7B9C">
        <w:t xml:space="preserve"> </w:t>
      </w:r>
      <w:r w:rsidRPr="005316C8">
        <w:t>have remained unknown.</w:t>
      </w:r>
      <w:r w:rsidR="002E466A">
        <w:rPr>
          <w:rStyle w:val="EndnoteReference"/>
        </w:rPr>
        <w:endnoteReference w:id="30"/>
      </w:r>
    </w:p>
    <w:p w:rsidR="00357426" w:rsidRPr="005316C8" w:rsidRDefault="00357426" w:rsidP="00357426">
      <w:pPr>
        <w:pStyle w:val="Text"/>
      </w:pPr>
      <w:r w:rsidRPr="005316C8">
        <w:t xml:space="preserve">Of particular interest for the present study are the contents of the </w:t>
      </w:r>
      <w:r w:rsidR="002E466A" w:rsidRPr="002E466A">
        <w:rPr>
          <w:i/>
          <w:iCs/>
        </w:rPr>
        <w:t>fatwá</w:t>
      </w:r>
      <w:r w:rsidR="000B7B9C">
        <w:t xml:space="preserve"> </w:t>
      </w:r>
      <w:r w:rsidRPr="005316C8">
        <w:t xml:space="preserve">document itself. </w:t>
      </w:r>
      <w:r w:rsidR="002E466A">
        <w:t xml:space="preserve"> </w:t>
      </w:r>
      <w:r w:rsidRPr="005316C8">
        <w:t>For here we have a surely authenticated document of the</w:t>
      </w:r>
      <w:r w:rsidR="000B7B9C">
        <w:t xml:space="preserve"> </w:t>
      </w:r>
      <w:r w:rsidRPr="005316C8">
        <w:t>reaction of the leaders of thought of the Islamic world to the initial writings</w:t>
      </w:r>
      <w:r w:rsidR="000B7B9C">
        <w:t xml:space="preserve"> </w:t>
      </w:r>
      <w:r w:rsidRPr="005316C8">
        <w:t>and claims of the Báb.</w:t>
      </w:r>
      <w:r w:rsidR="002E466A">
        <w:t xml:space="preserve"> </w:t>
      </w:r>
      <w:r w:rsidRPr="005316C8">
        <w:t xml:space="preserve"> The </w:t>
      </w:r>
      <w:r w:rsidR="002E466A" w:rsidRPr="002E466A">
        <w:rPr>
          <w:i/>
          <w:iCs/>
        </w:rPr>
        <w:t>fatwá</w:t>
      </w:r>
      <w:r w:rsidRPr="005316C8">
        <w:t xml:space="preserve"> lays the following specific charges against</w:t>
      </w:r>
      <w:r w:rsidR="000B7B9C">
        <w:t xml:space="preserve"> </w:t>
      </w:r>
      <w:r w:rsidRPr="005316C8">
        <w:t>the Báb:</w:t>
      </w:r>
    </w:p>
    <w:p w:rsidR="00357426" w:rsidRPr="005316C8" w:rsidRDefault="00357426" w:rsidP="002E466A">
      <w:pPr>
        <w:pStyle w:val="Bullet2"/>
      </w:pPr>
      <w:r w:rsidRPr="005316C8">
        <w:t>1</w:t>
      </w:r>
      <w:r w:rsidR="002E466A">
        <w:t>.</w:t>
      </w:r>
      <w:r w:rsidRPr="005316C8">
        <w:tab/>
        <w:t>That he wrote a book that resembled the Qur’án in its format, with</w:t>
      </w:r>
      <w:r w:rsidR="000B7B9C">
        <w:t xml:space="preserve"> </w:t>
      </w:r>
      <w:r w:rsidRPr="005316C8">
        <w:t>chapters, verses, etc.</w:t>
      </w:r>
    </w:p>
    <w:p w:rsidR="00357426" w:rsidRPr="005316C8" w:rsidRDefault="00357426" w:rsidP="000B7B9C">
      <w:pPr>
        <w:pStyle w:val="Bullet2ct"/>
      </w:pPr>
      <w:r w:rsidRPr="005316C8">
        <w:t>2</w:t>
      </w:r>
      <w:r w:rsidR="002E466A">
        <w:t>.</w:t>
      </w:r>
      <w:r w:rsidRPr="005316C8">
        <w:tab/>
        <w:t>That he took liberties with the text of the Qur’án by adding, subtracting and interposing new material.</w:t>
      </w:r>
    </w:p>
    <w:p w:rsidR="00357426" w:rsidRPr="005316C8" w:rsidRDefault="00357426" w:rsidP="002E466A">
      <w:pPr>
        <w:pStyle w:val="Bullet2ct"/>
      </w:pPr>
      <w:r w:rsidRPr="005316C8">
        <w:t>3</w:t>
      </w:r>
      <w:r w:rsidR="002E466A">
        <w:t>.</w:t>
      </w:r>
      <w:r w:rsidRPr="005316C8">
        <w:tab/>
        <w:t>That he claimed divine revelation.</w:t>
      </w:r>
    </w:p>
    <w:p w:rsidR="00357426" w:rsidRPr="005316C8" w:rsidRDefault="00357426" w:rsidP="002E466A">
      <w:pPr>
        <w:pStyle w:val="Bullet2ct"/>
      </w:pPr>
      <w:r w:rsidRPr="005316C8">
        <w:t>4</w:t>
      </w:r>
      <w:r w:rsidR="002E466A">
        <w:t>.</w:t>
      </w:r>
      <w:r w:rsidRPr="005316C8">
        <w:tab/>
        <w:t>That he exaggerated concerning some of the Holy Family.</w:t>
      </w:r>
    </w:p>
    <w:p w:rsidR="00357426" w:rsidRPr="005316C8" w:rsidRDefault="00357426" w:rsidP="000B7B9C">
      <w:pPr>
        <w:pStyle w:val="Bullet2ct"/>
      </w:pPr>
      <w:r w:rsidRPr="005316C8">
        <w:t>5</w:t>
      </w:r>
      <w:r w:rsidR="002E466A">
        <w:t>.</w:t>
      </w:r>
      <w:r w:rsidRPr="005316C8">
        <w:tab/>
        <w:t>That he exaggerated the importance of his own writings and commandments while de-emphasizing the importance of Islám and of</w:t>
      </w:r>
      <w:r w:rsidR="000B7B9C">
        <w:t xml:space="preserve"> </w:t>
      </w:r>
      <w:r w:rsidRPr="005316C8">
        <w:t>Islamic religious law.</w:t>
      </w:r>
      <w:r w:rsidR="002E466A">
        <w:rPr>
          <w:rStyle w:val="EndnoteReference"/>
        </w:rPr>
        <w:endnoteReference w:id="31"/>
      </w:r>
    </w:p>
    <w:p w:rsidR="00357426" w:rsidRPr="005316C8" w:rsidRDefault="00357426" w:rsidP="000B7B9C">
      <w:pPr>
        <w:pStyle w:val="Text"/>
      </w:pPr>
      <w:r w:rsidRPr="005316C8">
        <w:t xml:space="preserve">Thus, based strictly on the text of the </w:t>
      </w:r>
      <w:r w:rsidR="002E466A" w:rsidRPr="002E466A">
        <w:rPr>
          <w:i/>
          <w:iCs/>
        </w:rPr>
        <w:t>Qayyúmu’l-Asmá’</w:t>
      </w:r>
      <w:r w:rsidRPr="005316C8">
        <w:t xml:space="preserve"> (for they had</w:t>
      </w:r>
      <w:r w:rsidR="000B7B9C">
        <w:t xml:space="preserve"> </w:t>
      </w:r>
      <w:r w:rsidRPr="005316C8">
        <w:t>nothing else, not even the knowledge of the Báb’s identity), the panel of</w:t>
      </w:r>
      <w:r w:rsidR="000B7B9C">
        <w:t xml:space="preserve"> </w:t>
      </w:r>
      <w:r w:rsidRPr="005316C8">
        <w:t xml:space="preserve">Sunní and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‘ih ‘ulamá unanimously declared that the Báb had claimed</w:t>
      </w:r>
      <w:r w:rsidR="000B7B9C">
        <w:t xml:space="preserve"> </w:t>
      </w:r>
      <w:r w:rsidRPr="005316C8">
        <w:t xml:space="preserve">divine revelation. </w:t>
      </w:r>
      <w:r w:rsidR="002E466A">
        <w:t xml:space="preserve"> </w:t>
      </w:r>
      <w:r w:rsidRPr="005316C8">
        <w:t xml:space="preserve">Let us mention a few of the passages of the </w:t>
      </w:r>
      <w:r w:rsidRPr="002E466A">
        <w:rPr>
          <w:i/>
          <w:iCs/>
        </w:rPr>
        <w:t>Qayyúmu’l-Asmá’</w:t>
      </w:r>
      <w:r w:rsidRPr="005316C8">
        <w:t xml:space="preserve"> from which the panel perceived the Báb’s claim to divine revelation.</w:t>
      </w:r>
      <w:r w:rsidR="000B7B9C">
        <w:t xml:space="preserve">  </w:t>
      </w:r>
      <w:r w:rsidRPr="005316C8">
        <w:t xml:space="preserve">These are passages that have been cited in the </w:t>
      </w:r>
      <w:r w:rsidR="002E466A" w:rsidRPr="002E466A">
        <w:rPr>
          <w:i/>
          <w:iCs/>
        </w:rPr>
        <w:t>fatwá</w:t>
      </w:r>
      <w:r w:rsidRPr="005316C8">
        <w:t xml:space="preserve"> document itself in</w:t>
      </w:r>
      <w:r w:rsidR="000B7B9C">
        <w:t xml:space="preserve"> </w:t>
      </w:r>
      <w:r w:rsidRPr="005316C8">
        <w:t>explicit support of the charge that the Báb claimed divine revelation.</w:t>
      </w:r>
    </w:p>
    <w:p w:rsidR="00357426" w:rsidRPr="005316C8" w:rsidRDefault="00357426" w:rsidP="002E466A">
      <w:pPr>
        <w:pStyle w:val="Text"/>
      </w:pPr>
      <w:r w:rsidRPr="005316C8">
        <w:t xml:space="preserve">In chapter 61, verse 22 of the </w:t>
      </w:r>
      <w:r w:rsidR="002E466A" w:rsidRPr="002E466A">
        <w:rPr>
          <w:i/>
          <w:iCs/>
        </w:rPr>
        <w:t>Qayyúmu’l-Asmá’</w:t>
      </w:r>
      <w:r w:rsidRPr="005316C8">
        <w:t xml:space="preserve"> we find:  ‘We have inspired</w:t>
      </w:r>
      <w:r w:rsidR="000B7B9C">
        <w:t xml:space="preserve"> </w:t>
      </w:r>
      <w:r w:rsidRPr="005316C8">
        <w:t>you as We inspired Muḥammad and those messengers who were before him</w:t>
      </w:r>
      <w:r w:rsidR="000B7B9C">
        <w:t xml:space="preserve"> </w:t>
      </w:r>
      <w:r w:rsidRPr="005316C8">
        <w:t>with clear signs in order that mankind may have no arguments against</w:t>
      </w:r>
      <w:r w:rsidR="000B7B9C">
        <w:t xml:space="preserve"> </w:t>
      </w:r>
      <w:r w:rsidRPr="005316C8">
        <w:t xml:space="preserve">God </w:t>
      </w:r>
      <w:r w:rsidR="002E466A">
        <w:t>…</w:t>
      </w:r>
      <w:r w:rsidRPr="005316C8">
        <w:t>.’</w:t>
      </w:r>
      <w:r w:rsidR="002E466A">
        <w:rPr>
          <w:rStyle w:val="EndnoteReference"/>
        </w:rPr>
        <w:endnoteReference w:id="32"/>
      </w:r>
      <w:r w:rsidRPr="005316C8">
        <w:t xml:space="preserve">  Here, the Báb clearly identifies himself as a Messenger of God</w:t>
      </w:r>
      <w:r w:rsidR="000B7B9C">
        <w:t xml:space="preserve"> </w:t>
      </w:r>
      <w:r w:rsidRPr="005316C8">
        <w:t xml:space="preserve">after Muḥammad, and of the same rank and nature. </w:t>
      </w:r>
      <w:r w:rsidR="002E466A">
        <w:t xml:space="preserve"> </w:t>
      </w:r>
      <w:r w:rsidRPr="005316C8">
        <w:t>Later on (verse 24) the</w:t>
      </w:r>
      <w:r w:rsidR="000B7B9C">
        <w:t xml:space="preserve"> </w:t>
      </w:r>
      <w:r w:rsidRPr="005316C8">
        <w:t>Báb refers to himself as the ‘Remembrance’ of God, a term unequivocally</w:t>
      </w:r>
      <w:r w:rsidR="000B7B9C">
        <w:t xml:space="preserve"> </w:t>
      </w:r>
      <w:r w:rsidRPr="005316C8">
        <w:t>understood in this context as implying the rank of a Manifestation or Prophet</w:t>
      </w:r>
      <w:r w:rsidR="000B7B9C">
        <w:t xml:space="preserve"> </w:t>
      </w:r>
      <w:r w:rsidRPr="005316C8">
        <w:t>of God.</w:t>
      </w:r>
      <w:r w:rsidR="002E466A">
        <w:rPr>
          <w:rStyle w:val="EndnoteReference"/>
        </w:rPr>
        <w:endnoteReference w:id="33"/>
      </w:r>
      <w:r w:rsidRPr="005316C8">
        <w:t xml:space="preserve">  In chapter 65, verse 2, the Báb speaks of the verses of the</w:t>
      </w:r>
      <w:r w:rsidR="000B7B9C">
        <w:t xml:space="preserve"> </w:t>
      </w:r>
      <w:r w:rsidR="002E466A" w:rsidRPr="002E466A">
        <w:rPr>
          <w:i/>
          <w:iCs/>
        </w:rPr>
        <w:t>Qayyúmu’l-Asmá’</w:t>
      </w:r>
      <w:r w:rsidRPr="005316C8">
        <w:t xml:space="preserve"> as ‘revealed’ (</w:t>
      </w:r>
      <w:r w:rsidRPr="002E466A">
        <w:rPr>
          <w:i/>
          <w:iCs/>
        </w:rPr>
        <w:t>awḥá</w:t>
      </w:r>
      <w:r w:rsidRPr="005316C8">
        <w:t>) by God.</w:t>
      </w:r>
      <w:r w:rsidR="002E466A">
        <w:rPr>
          <w:rStyle w:val="EndnoteReference"/>
        </w:rPr>
        <w:endnoteReference w:id="34"/>
      </w:r>
      <w:r w:rsidRPr="005316C8">
        <w:t xml:space="preserve">  In chapter 60, verse 14, the</w:t>
      </w:r>
      <w:r w:rsidR="000B7B9C">
        <w:t xml:space="preserve"> </w:t>
      </w:r>
      <w:r w:rsidRPr="005316C8">
        <w:t xml:space="preserve">Báb speaks likewise of the </w:t>
      </w:r>
      <w:r w:rsidR="002E466A" w:rsidRPr="002E466A">
        <w:rPr>
          <w:i/>
          <w:iCs/>
        </w:rPr>
        <w:t>Qayyúmu’l-Asmá’</w:t>
      </w:r>
      <w:r w:rsidRPr="005316C8">
        <w:t xml:space="preserve"> as ‘sent down’ (</w:t>
      </w:r>
      <w:r w:rsidR="002E466A">
        <w:t>‘</w:t>
      </w:r>
      <w:r w:rsidRPr="002E466A">
        <w:rPr>
          <w:i/>
          <w:iCs/>
        </w:rPr>
        <w:t>anzal</w:t>
      </w:r>
      <w:r w:rsidRPr="005316C8">
        <w:t>) by</w:t>
      </w:r>
      <w:r w:rsidR="000B7B9C">
        <w:t xml:space="preserve"> </w:t>
      </w:r>
      <w:r w:rsidRPr="005316C8">
        <w:t>God.</w:t>
      </w:r>
      <w:r w:rsidR="002E466A">
        <w:rPr>
          <w:rStyle w:val="EndnoteReference"/>
        </w:rPr>
        <w:endnoteReference w:id="35"/>
      </w:r>
      <w:r w:rsidRPr="005316C8">
        <w:t xml:space="preserve">  Both of these terms are immediately perceived as constituting an</w:t>
      </w:r>
      <w:r w:rsidR="000B7B9C">
        <w:t xml:space="preserve"> </w:t>
      </w:r>
      <w:r w:rsidRPr="005316C8">
        <w:t>unequivocal claim to divine revelation.</w:t>
      </w:r>
    </w:p>
    <w:p w:rsidR="00357426" w:rsidRPr="005316C8" w:rsidRDefault="00357426" w:rsidP="002E466A">
      <w:pPr>
        <w:pStyle w:val="Text"/>
      </w:pPr>
      <w:r w:rsidRPr="005316C8">
        <w:t>In chapter 60, verse 12, the Báb refers to himself as the Proof (</w:t>
      </w:r>
      <w:r w:rsidRPr="002E466A">
        <w:rPr>
          <w:i/>
          <w:iCs/>
        </w:rPr>
        <w:t>al-Ḥujja</w:t>
      </w:r>
      <w:r w:rsidRPr="005316C8">
        <w:t>),</w:t>
      </w:r>
      <w:r w:rsidR="000B7B9C">
        <w:t xml:space="preserve"> </w:t>
      </w:r>
      <w:r w:rsidRPr="005316C8">
        <w:t>one of the titles of the Imám Mahdí.</w:t>
      </w:r>
      <w:r w:rsidR="002E466A">
        <w:rPr>
          <w:rStyle w:val="EndnoteReference"/>
        </w:rPr>
        <w:endnoteReference w:id="36"/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Text"/>
      </w:pPr>
      <w:r w:rsidRPr="005316C8">
        <w:lastRenderedPageBreak/>
        <w:t>In chapter 62, verse 12, the Báb says:  ‘O people of the Earth!  The</w:t>
      </w:r>
      <w:r w:rsidR="000B7B9C">
        <w:t xml:space="preserve"> </w:t>
      </w:r>
      <w:r w:rsidRPr="005316C8">
        <w:t>Remembrance has come to you after a break in the succession of messengers</w:t>
      </w:r>
      <w:r w:rsidR="000B7B9C">
        <w:t xml:space="preserve"> </w:t>
      </w:r>
      <w:r w:rsidRPr="005316C8">
        <w:t xml:space="preserve">in order that he may purge and purify you </w:t>
      </w:r>
      <w:r w:rsidR="002E466A">
        <w:t>…</w:t>
      </w:r>
      <w:r w:rsidRPr="005316C8">
        <w:t>.’</w:t>
      </w:r>
      <w:r w:rsidR="002E466A">
        <w:rPr>
          <w:rStyle w:val="EndnoteReference"/>
        </w:rPr>
        <w:endnoteReference w:id="37"/>
      </w:r>
      <w:r w:rsidRPr="005316C8">
        <w:t xml:space="preserve">  Not only does the Báb</w:t>
      </w:r>
      <w:r w:rsidR="000B7B9C">
        <w:t xml:space="preserve"> </w:t>
      </w:r>
      <w:r w:rsidRPr="005316C8">
        <w:t>assume the title of Remembrance, but he specifically presents his revelation</w:t>
      </w:r>
      <w:r w:rsidR="000B7B9C">
        <w:t xml:space="preserve"> </w:t>
      </w:r>
      <w:r w:rsidRPr="005316C8">
        <w:t>as following in the established succession of divine revelations.</w:t>
      </w:r>
    </w:p>
    <w:p w:rsidR="00357426" w:rsidRPr="005316C8" w:rsidRDefault="00357426" w:rsidP="002E466A">
      <w:pPr>
        <w:pStyle w:val="Text"/>
      </w:pPr>
      <w:r w:rsidRPr="005316C8">
        <w:t>The above is only a sampling, but should suffice to establish that, from the</w:t>
      </w:r>
      <w:r w:rsidR="000B7B9C">
        <w:t xml:space="preserve"> </w:t>
      </w:r>
      <w:r w:rsidRPr="005316C8">
        <w:t>very beginning, the nature of the Báb’s claims were quite clear and</w:t>
      </w:r>
      <w:r w:rsidR="000B7B9C">
        <w:t xml:space="preserve"> </w:t>
      </w:r>
      <w:r w:rsidRPr="005316C8">
        <w:t>unequivocal.</w:t>
      </w:r>
      <w:r w:rsidR="002E466A">
        <w:rPr>
          <w:rStyle w:val="EndnoteReference"/>
        </w:rPr>
        <w:endnoteReference w:id="38"/>
      </w:r>
      <w:r w:rsidRPr="005316C8">
        <w:t xml:space="preserve">  If his claims were so clear to his enemies, and to the orthodox</w:t>
      </w:r>
      <w:r w:rsidR="000B7B9C">
        <w:t xml:space="preserve"> </w:t>
      </w:r>
      <w:r w:rsidRPr="005316C8">
        <w:t>establishment of the day, they were certainly just as clear to his followers.</w:t>
      </w:r>
      <w:r w:rsidR="000B7B9C">
        <w:t xml:space="preserve">  </w:t>
      </w:r>
      <w:r w:rsidRPr="005316C8">
        <w:t>What else indeed but the conviction that they were the believing witnesses to</w:t>
      </w:r>
      <w:r w:rsidR="000B7B9C">
        <w:t xml:space="preserve"> </w:t>
      </w:r>
      <w:r w:rsidRPr="005316C8">
        <w:t>a divine epiphany could have motivated the early followers of the Báb (such</w:t>
      </w:r>
      <w:r w:rsidR="000B7B9C">
        <w:t xml:space="preserve"> </w:t>
      </w:r>
      <w:r w:rsidRPr="005316C8">
        <w:t>as Mullá Alíy-i-Basṭámí himself) to such deeds of self-sacrifice?</w:t>
      </w:r>
    </w:p>
    <w:p w:rsidR="00357426" w:rsidRPr="005316C8" w:rsidRDefault="00357426" w:rsidP="002E466A">
      <w:pPr>
        <w:pStyle w:val="Text"/>
      </w:pPr>
      <w:r w:rsidRPr="005316C8">
        <w:t xml:space="preserve">Thus, the </w:t>
      </w:r>
      <w:r w:rsidR="002E466A" w:rsidRPr="002E466A">
        <w:rPr>
          <w:i/>
          <w:iCs/>
        </w:rPr>
        <w:t>fatwá</w:t>
      </w:r>
      <w:r w:rsidRPr="005316C8">
        <w:t xml:space="preserve"> document, written and proclaimed in early 1845 and</w:t>
      </w:r>
      <w:r w:rsidR="000B7B9C">
        <w:t xml:space="preserve"> </w:t>
      </w:r>
      <w:r w:rsidRPr="005316C8">
        <w:t xml:space="preserve">based strictly on the </w:t>
      </w:r>
      <w:r w:rsidR="002E466A" w:rsidRPr="002E466A">
        <w:rPr>
          <w:i/>
          <w:iCs/>
        </w:rPr>
        <w:t>Qayyúmu’l-Asmá’</w:t>
      </w:r>
      <w:r w:rsidRPr="005316C8">
        <w:t xml:space="preserve"> (or whatever portion of it the Báb had</w:t>
      </w:r>
      <w:r w:rsidR="000B7B9C">
        <w:t xml:space="preserve"> </w:t>
      </w:r>
      <w:r w:rsidRPr="005316C8">
        <w:t>completed before early August, 1844), the trial of Mullá ‘Alíy-i-Basṭámí</w:t>
      </w:r>
      <w:r w:rsidR="000B7B9C">
        <w:t xml:space="preserve"> </w:t>
      </w:r>
      <w:r w:rsidRPr="005316C8">
        <w:t xml:space="preserve">which generated the </w:t>
      </w:r>
      <w:r w:rsidR="002E466A" w:rsidRPr="002E466A">
        <w:rPr>
          <w:i/>
          <w:iCs/>
        </w:rPr>
        <w:t>fatwá</w:t>
      </w:r>
      <w:r w:rsidRPr="005316C8">
        <w:t>, and the actions of both the early Bábís and their</w:t>
      </w:r>
      <w:r w:rsidR="000B7B9C">
        <w:t xml:space="preserve"> </w:t>
      </w:r>
      <w:r w:rsidRPr="005316C8">
        <w:t>religious opponents all seem to contradict decisively MacEoin’s description</w:t>
      </w:r>
      <w:r w:rsidR="000B7B9C">
        <w:t xml:space="preserve"> </w:t>
      </w:r>
      <w:r w:rsidRPr="005316C8">
        <w:t>of the early Bábí Faith as ‘an expression of extreme Islamic pietism animated</w:t>
      </w:r>
      <w:r w:rsidR="000B7B9C">
        <w:t xml:space="preserve"> </w:t>
      </w:r>
      <w:r w:rsidRPr="005316C8">
        <w:t xml:space="preserve">by urgent expectation of the return of the Hidden Imám </w:t>
      </w:r>
      <w:r w:rsidR="002E466A">
        <w:t>…</w:t>
      </w:r>
      <w:r w:rsidRPr="005316C8">
        <w:t>.’</w:t>
      </w:r>
      <w:r w:rsidR="002E466A">
        <w:rPr>
          <w:rStyle w:val="EndnoteReference"/>
        </w:rPr>
        <w:endnoteReference w:id="39"/>
      </w:r>
    </w:p>
    <w:p w:rsidR="00357426" w:rsidRPr="005316C8" w:rsidRDefault="00357426" w:rsidP="00357426">
      <w:pPr>
        <w:pStyle w:val="Text"/>
      </w:pPr>
      <w:r w:rsidRPr="005316C8">
        <w:t>However, there is no doubt a considerable change in style, tone, and</w:t>
      </w:r>
      <w:r w:rsidR="000B7B9C">
        <w:t xml:space="preserve"> </w:t>
      </w:r>
      <w:r w:rsidRPr="005316C8">
        <w:t xml:space="preserve">content between the </w:t>
      </w:r>
      <w:r w:rsidR="002E466A" w:rsidRPr="002E466A">
        <w:rPr>
          <w:i/>
          <w:iCs/>
        </w:rPr>
        <w:t>Qayyúmu’l-Asmá’</w:t>
      </w:r>
      <w:r w:rsidRPr="005316C8">
        <w:t>, written in 1844, and the Persian</w:t>
      </w:r>
      <w:r w:rsidR="000B7B9C">
        <w:t xml:space="preserve"> </w:t>
      </w:r>
      <w:r w:rsidR="002E466A" w:rsidRPr="002E466A">
        <w:rPr>
          <w:i/>
          <w:iCs/>
        </w:rPr>
        <w:t>Bayán</w:t>
      </w:r>
      <w:r w:rsidRPr="005316C8">
        <w:t xml:space="preserve">, written by the Báb in 1848. </w:t>
      </w:r>
      <w:r w:rsidR="002E466A">
        <w:t xml:space="preserve"> </w:t>
      </w:r>
      <w:r w:rsidRPr="005316C8">
        <w:t>The former is more Qur’anic in style, and</w:t>
      </w:r>
      <w:r w:rsidR="000B7B9C">
        <w:t xml:space="preserve"> </w:t>
      </w:r>
      <w:r w:rsidRPr="005316C8">
        <w:t>seeks to reaffirm the basic truths of Islám, much as Jesus said to the Jews that</w:t>
      </w:r>
      <w:r w:rsidR="000B7B9C">
        <w:t xml:space="preserve"> </w:t>
      </w:r>
      <w:r w:rsidRPr="005316C8">
        <w:t>‘I have come not to destroy the Law but to fulfill it.’  In particular, during the</w:t>
      </w:r>
      <w:r w:rsidR="000B7B9C">
        <w:t xml:space="preserve"> </w:t>
      </w:r>
      <w:r w:rsidRPr="005316C8">
        <w:t>first few years of his ministry, the Báb did not institute laws different from</w:t>
      </w:r>
      <w:r w:rsidR="000B7B9C">
        <w:t xml:space="preserve"> </w:t>
      </w:r>
      <w:r w:rsidRPr="005316C8">
        <w:t>those of Islám, and he explicitly enjoined his followers to continue</w:t>
      </w:r>
      <w:r w:rsidR="000B7B9C">
        <w:t xml:space="preserve"> </w:t>
      </w:r>
      <w:r w:rsidRPr="005316C8">
        <w:t>observance of Islamic law.</w:t>
      </w:r>
    </w:p>
    <w:p w:rsidR="00357426" w:rsidRPr="005316C8" w:rsidRDefault="00357426" w:rsidP="00357426">
      <w:pPr>
        <w:pStyle w:val="Text"/>
      </w:pPr>
      <w:r w:rsidRPr="005316C8">
        <w:t xml:space="preserve">On the other hand, the Persian </w:t>
      </w:r>
      <w:r w:rsidR="002E466A" w:rsidRPr="002E466A">
        <w:rPr>
          <w:i/>
          <w:iCs/>
        </w:rPr>
        <w:t>Bayán</w:t>
      </w:r>
      <w:r w:rsidRPr="005316C8">
        <w:t xml:space="preserve"> represents a radical break with</w:t>
      </w:r>
      <w:r w:rsidR="000B7B9C">
        <w:t xml:space="preserve"> </w:t>
      </w:r>
      <w:r w:rsidRPr="005316C8">
        <w:t xml:space="preserve">Islamic law, abrogating many traditional laws and instituting new ones. </w:t>
      </w:r>
      <w:r w:rsidR="00426A8A">
        <w:t xml:space="preserve"> </w:t>
      </w:r>
      <w:r w:rsidRPr="005316C8">
        <w:t>In</w:t>
      </w:r>
      <w:r w:rsidR="000B7B9C">
        <w:t xml:space="preserve"> </w:t>
      </w:r>
      <w:r w:rsidRPr="005316C8">
        <w:t xml:space="preserve">one of his later writings, the </w:t>
      </w:r>
      <w:r w:rsidRPr="002E466A">
        <w:rPr>
          <w:i/>
          <w:iCs/>
        </w:rPr>
        <w:t>Seven Proofs</w:t>
      </w:r>
      <w:r w:rsidRPr="005316C8">
        <w:t>, the Báb refers to the evolutionary</w:t>
      </w:r>
      <w:r w:rsidR="000B7B9C">
        <w:t xml:space="preserve"> </w:t>
      </w:r>
      <w:r w:rsidRPr="005316C8">
        <w:t>character of his revelation:</w:t>
      </w:r>
    </w:p>
    <w:p w:rsidR="00357426" w:rsidRPr="005316C8" w:rsidRDefault="00357426" w:rsidP="002E466A">
      <w:pPr>
        <w:pStyle w:val="Quote"/>
      </w:pPr>
      <w:r w:rsidRPr="005316C8">
        <w:t>Consider the manifold favours vouchsafed by the Promised One, and the</w:t>
      </w:r>
      <w:r w:rsidR="000B7B9C">
        <w:t xml:space="preserve"> </w:t>
      </w:r>
      <w:r w:rsidRPr="005316C8">
        <w:t>effusions of His bounty which have pervaded the concourse of the followers of</w:t>
      </w:r>
      <w:r w:rsidR="000B7B9C">
        <w:t xml:space="preserve"> </w:t>
      </w:r>
      <w:r w:rsidRPr="005316C8">
        <w:t xml:space="preserve">Islám to enable them to attain unto salvation. </w:t>
      </w:r>
      <w:r w:rsidR="002E466A">
        <w:t xml:space="preserve"> </w:t>
      </w:r>
      <w:r w:rsidRPr="005316C8">
        <w:t>Indeed observe how He Who</w:t>
      </w:r>
      <w:r w:rsidR="000B7B9C">
        <w:t xml:space="preserve"> </w:t>
      </w:r>
      <w:r w:rsidRPr="005316C8">
        <w:t>representeth the origin of creation, He Who is the Exponent of the verse ‘I, in</w:t>
      </w:r>
      <w:r w:rsidR="000B7B9C">
        <w:t xml:space="preserve"> </w:t>
      </w:r>
      <w:r w:rsidRPr="005316C8">
        <w:t>very truth, am God’, identified Himself as the Gate [Bab] for the advent of the</w:t>
      </w:r>
      <w:r w:rsidR="000B7B9C">
        <w:t xml:space="preserve"> </w:t>
      </w:r>
      <w:r w:rsidRPr="005316C8">
        <w:t>promised Qá’im, a descendant of Muḥammad, and in His first Book enjoined</w:t>
      </w:r>
      <w:r w:rsidR="000B7B9C">
        <w:t xml:space="preserve"> </w:t>
      </w:r>
      <w:r w:rsidRPr="005316C8">
        <w:t>the observance of the laws of the Qur’án, so that the people might not be seized</w:t>
      </w:r>
      <w:r w:rsidR="000B7B9C">
        <w:t xml:space="preserve"> </w:t>
      </w:r>
      <w:r w:rsidRPr="005316C8">
        <w:t>with perturbation by reason of a new Book and a new Revelation and might</w:t>
      </w:r>
      <w:r w:rsidR="000B7B9C">
        <w:t xml:space="preserve"> </w:t>
      </w:r>
      <w:r w:rsidRPr="005316C8">
        <w:t>regard His Faith as similar to their own, perchance they would not turn away</w:t>
      </w:r>
      <w:r w:rsidR="000B7B9C">
        <w:t xml:space="preserve"> </w:t>
      </w:r>
      <w:r w:rsidRPr="005316C8">
        <w:t>from the Truth and ignore the thing for which they had been called into being.</w:t>
      </w:r>
      <w:r w:rsidR="002E466A">
        <w:rPr>
          <w:rStyle w:val="EndnoteReference"/>
        </w:rPr>
        <w:endnoteReference w:id="40"/>
      </w:r>
    </w:p>
    <w:p w:rsidR="00357426" w:rsidRPr="005316C8" w:rsidRDefault="00357426" w:rsidP="000B7B9C">
      <w:pPr>
        <w:pStyle w:val="Text"/>
      </w:pPr>
      <w:r w:rsidRPr="005316C8">
        <w:t>A few words of explanation concerning the above passage are in order.</w:t>
      </w:r>
      <w:r w:rsidR="000B7B9C">
        <w:t xml:space="preserve">  </w:t>
      </w:r>
      <w:r w:rsidRPr="005316C8">
        <w:t>After the death of Muḥammad (</w:t>
      </w:r>
      <w:r w:rsidRPr="002E466A">
        <w:rPr>
          <w:sz w:val="18"/>
          <w:szCs w:val="18"/>
        </w:rPr>
        <w:t>AD</w:t>
      </w:r>
      <w:r w:rsidRPr="005316C8">
        <w:t xml:space="preserve"> 632), there followed a succession of</w:t>
      </w:r>
    </w:p>
    <w:p w:rsidR="002E466A" w:rsidRDefault="002E466A" w:rsidP="008C02BB">
      <w:r>
        <w:br w:type="page"/>
      </w:r>
    </w:p>
    <w:p w:rsidR="00357426" w:rsidRPr="005316C8" w:rsidRDefault="00357426" w:rsidP="000B7B9C">
      <w:pPr>
        <w:pStyle w:val="Textcts"/>
      </w:pPr>
      <w:r w:rsidRPr="005316C8">
        <w:lastRenderedPageBreak/>
        <w:t>Imáms or leaders, the first being ‘Alí the son-in-law of Muḥammad, the</w:t>
      </w:r>
      <w:r w:rsidR="000B7B9C">
        <w:t xml:space="preserve"> </w:t>
      </w:r>
      <w:r w:rsidRPr="005316C8">
        <w:t xml:space="preserve">husband of Muḥammad’s daughter Fáṭima. </w:t>
      </w:r>
      <w:r w:rsidR="002E466A">
        <w:t xml:space="preserve"> </w:t>
      </w:r>
      <w:r w:rsidRPr="005316C8">
        <w:t>The legitimacy and spiritual</w:t>
      </w:r>
      <w:r w:rsidR="000B7B9C">
        <w:t xml:space="preserve"> </w:t>
      </w:r>
      <w:r w:rsidRPr="005316C8">
        <w:t xml:space="preserve">authority of the Imáms is recognized by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‘ih Islám but not by Sunní Islám.</w:t>
      </w:r>
      <w:r w:rsidR="000B7B9C">
        <w:t xml:space="preserve">  </w:t>
      </w:r>
      <w:r w:rsidRPr="005316C8">
        <w:t xml:space="preserve">Traditional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‘ih belief holds that the twelfth and last Imám appeared in the</w:t>
      </w:r>
      <w:r w:rsidR="000B7B9C">
        <w:t xml:space="preserve"> </w:t>
      </w:r>
      <w:r w:rsidRPr="005316C8">
        <w:t>tenth century and that he did not die but is only hidden and will, at the</w:t>
      </w:r>
      <w:r w:rsidR="000B7B9C">
        <w:t xml:space="preserve"> </w:t>
      </w:r>
      <w:r w:rsidRPr="005316C8">
        <w:t>appropriate moment, return in eschatological consummation.</w:t>
      </w:r>
      <w:r w:rsidR="002E466A">
        <w:t xml:space="preserve"> </w:t>
      </w:r>
      <w:r w:rsidRPr="005316C8">
        <w:t xml:space="preserve"> This apocalyptic event is designated as the appearance of the Imám Mahdí, the Qá’im, the</w:t>
      </w:r>
      <w:r w:rsidR="000B7B9C">
        <w:t xml:space="preserve"> </w:t>
      </w:r>
      <w:r w:rsidRPr="005316C8">
        <w:t xml:space="preserve">Promised One of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‘ih Islám.</w:t>
      </w:r>
    </w:p>
    <w:p w:rsidR="00357426" w:rsidRPr="005316C8" w:rsidRDefault="00357426" w:rsidP="000B7B9C">
      <w:pPr>
        <w:pStyle w:val="Text"/>
      </w:pPr>
      <w:r w:rsidRPr="005316C8">
        <w:t>Each Imám had designated his successor, and it is believed that the</w:t>
      </w:r>
      <w:r w:rsidR="000B7B9C">
        <w:t xml:space="preserve"> </w:t>
      </w:r>
      <w:r w:rsidRPr="005316C8">
        <w:t>twelfth and last Imám designated an intermediary or ‘Gate’ (Báb) to succeed</w:t>
      </w:r>
      <w:r w:rsidR="000B7B9C">
        <w:t xml:space="preserve"> </w:t>
      </w:r>
      <w:r w:rsidRPr="005316C8">
        <w:t xml:space="preserve">him. </w:t>
      </w:r>
      <w:r w:rsidR="002E466A">
        <w:t xml:space="preserve"> </w:t>
      </w:r>
      <w:r w:rsidRPr="005316C8">
        <w:t>Three other succeeding Gates were designated by their predecessors,</w:t>
      </w:r>
      <w:r w:rsidR="000B7B9C">
        <w:t xml:space="preserve"> </w:t>
      </w:r>
      <w:r w:rsidRPr="005316C8">
        <w:t xml:space="preserve">and then the succession ceased. </w:t>
      </w:r>
      <w:r w:rsidR="002E466A">
        <w:t xml:space="preserve"> </w:t>
      </w:r>
      <w:r w:rsidRPr="005316C8">
        <w:t>The Gates were not held to be Imáms but</w:t>
      </w:r>
      <w:r w:rsidR="000B7B9C">
        <w:t xml:space="preserve"> </w:t>
      </w:r>
      <w:r w:rsidRPr="005316C8">
        <w:t xml:space="preserve">only representatives of the last (hidden) Imám. </w:t>
      </w:r>
      <w:r w:rsidR="002E466A">
        <w:t xml:space="preserve"> </w:t>
      </w:r>
      <w:r w:rsidRPr="005316C8">
        <w:t>All of the Imáms were</w:t>
      </w:r>
      <w:r w:rsidR="000B7B9C">
        <w:t xml:space="preserve"> </w:t>
      </w:r>
      <w:r w:rsidRPr="005316C8">
        <w:t xml:space="preserve">descended from ‘Alí and from Muḥammad via Fáṭima. </w:t>
      </w:r>
      <w:r w:rsidR="002E466A">
        <w:t xml:space="preserve"> </w:t>
      </w:r>
      <w:r w:rsidRPr="005316C8">
        <w:t xml:space="preserve">Thus, when ‘Alí-Muḥammad of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ráz took the title of Báb, he could easily have been</w:t>
      </w:r>
      <w:r w:rsidR="000B7B9C">
        <w:t xml:space="preserve"> </w:t>
      </w:r>
      <w:r w:rsidRPr="005316C8">
        <w:t>interpreted to mean that he was yet another (fifth) Gate to the twelfth Imám,</w:t>
      </w:r>
      <w:r w:rsidR="000B7B9C">
        <w:t xml:space="preserve"> </w:t>
      </w:r>
      <w:r w:rsidRPr="005316C8">
        <w:t>i.e., a ‘Gate for the advent of the Promised Qá’im, a descendant of</w:t>
      </w:r>
      <w:r w:rsidR="000B7B9C">
        <w:t xml:space="preserve"> </w:t>
      </w:r>
      <w:r w:rsidRPr="005316C8">
        <w:t xml:space="preserve">Muḥammad </w:t>
      </w:r>
      <w:r w:rsidR="002E466A">
        <w:t>…</w:t>
      </w:r>
      <w:r w:rsidRPr="005316C8">
        <w:t>.’</w:t>
      </w:r>
      <w:r w:rsidR="002E466A">
        <w:rPr>
          <w:rStyle w:val="EndnoteReference"/>
        </w:rPr>
        <w:endnoteReference w:id="41"/>
      </w:r>
      <w:r w:rsidRPr="005316C8">
        <w:t xml:space="preserve">  But this interpretation is rendered ambiguous by the</w:t>
      </w:r>
      <w:r w:rsidR="000B7B9C">
        <w:t xml:space="preserve"> </w:t>
      </w:r>
      <w:r w:rsidRPr="005316C8">
        <w:t>Báb’s unequivocal claims to independent divine revelation as discussed</w:t>
      </w:r>
      <w:r w:rsidR="000B7B9C">
        <w:t xml:space="preserve"> </w:t>
      </w:r>
      <w:r w:rsidRPr="005316C8">
        <w:t>above.</w:t>
      </w:r>
      <w:r w:rsidR="002E466A">
        <w:t xml:space="preserve"> </w:t>
      </w:r>
      <w:r w:rsidRPr="005316C8">
        <w:t xml:space="preserve"> The obvious conclusion, then, is that, in the early period of his</w:t>
      </w:r>
      <w:r w:rsidR="000B7B9C">
        <w:t xml:space="preserve"> </w:t>
      </w:r>
      <w:r w:rsidRPr="005316C8">
        <w:t>ministry, the Báb deliberately employed this ambiguity in order to lessen the</w:t>
      </w:r>
      <w:r w:rsidR="000B7B9C">
        <w:t xml:space="preserve"> </w:t>
      </w:r>
      <w:r w:rsidRPr="005316C8">
        <w:t>impact of his otherwise clear claims to divine revelation.</w:t>
      </w:r>
    </w:p>
    <w:p w:rsidR="00357426" w:rsidRPr="005316C8" w:rsidRDefault="00357426" w:rsidP="000B7B9C">
      <w:pPr>
        <w:pStyle w:val="Text"/>
      </w:pPr>
      <w:r w:rsidRPr="005316C8">
        <w:t xml:space="preserve">However, this conclusion, though logical, does not explain what ‘Alí-Muḥammad of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 xml:space="preserve">ráz did in fact mean by the title of ‘Báb’. </w:t>
      </w:r>
      <w:r w:rsidR="002E466A">
        <w:t xml:space="preserve"> </w:t>
      </w:r>
      <w:r w:rsidRPr="005316C8">
        <w:t>What else could</w:t>
      </w:r>
      <w:r w:rsidR="000B7B9C">
        <w:t xml:space="preserve"> </w:t>
      </w:r>
      <w:r w:rsidRPr="005316C8">
        <w:t>he have meant if not that he was the fifth Gate to the Hidden Imám?</w:t>
      </w:r>
    </w:p>
    <w:p w:rsidR="00357426" w:rsidRPr="005316C8" w:rsidRDefault="00357426" w:rsidP="000B7B9C">
      <w:pPr>
        <w:pStyle w:val="Text"/>
      </w:pPr>
      <w:r w:rsidRPr="005316C8">
        <w:t>To answer this important question, and to gain an adequate understanding of the nature of the Báb’s claims, and of the evolution of his ministry, one</w:t>
      </w:r>
      <w:r w:rsidR="000B7B9C">
        <w:t xml:space="preserve"> </w:t>
      </w:r>
      <w:r w:rsidRPr="005316C8">
        <w:t xml:space="preserve">other important feature of the Persian </w:t>
      </w:r>
      <w:r w:rsidR="002E466A" w:rsidRPr="002E466A">
        <w:rPr>
          <w:i/>
          <w:iCs/>
        </w:rPr>
        <w:t>Bayán</w:t>
      </w:r>
      <w:r w:rsidRPr="005316C8">
        <w:t xml:space="preserve"> needs our attention. </w:t>
      </w:r>
      <w:r w:rsidR="002E466A">
        <w:t xml:space="preserve"> </w:t>
      </w:r>
      <w:r w:rsidRPr="005316C8">
        <w:t>Not only</w:t>
      </w:r>
      <w:r w:rsidR="000B7B9C">
        <w:t xml:space="preserve"> </w:t>
      </w:r>
      <w:r w:rsidRPr="005316C8">
        <w:t xml:space="preserve">does the </w:t>
      </w:r>
      <w:r w:rsidR="002E466A" w:rsidRPr="002E466A">
        <w:rPr>
          <w:i/>
          <w:iCs/>
        </w:rPr>
        <w:t>Bayán</w:t>
      </w:r>
      <w:r w:rsidRPr="005316C8">
        <w:t xml:space="preserve"> promulgate a radically new set of rather severe laws, it speaks</w:t>
      </w:r>
      <w:r w:rsidR="000B7B9C">
        <w:t xml:space="preserve"> </w:t>
      </w:r>
      <w:r w:rsidRPr="005316C8">
        <w:t>continually of a further Manifestation of God whose appearance is soon</w:t>
      </w:r>
      <w:r w:rsidR="000B7B9C">
        <w:t xml:space="preserve"> </w:t>
      </w:r>
      <w:r w:rsidRPr="005316C8">
        <w:t xml:space="preserve">expected. </w:t>
      </w:r>
      <w:r w:rsidR="002E466A">
        <w:t xml:space="preserve"> </w:t>
      </w:r>
      <w:r w:rsidRPr="005316C8">
        <w:t>The title given to this future Manifestation is ‘Him Whom God</w:t>
      </w:r>
      <w:r w:rsidR="000B7B9C">
        <w:t xml:space="preserve"> </w:t>
      </w:r>
      <w:r w:rsidRPr="005316C8">
        <w:t>shall make manifest’ and He is addressed or mentioned over three hundred</w:t>
      </w:r>
      <w:r w:rsidR="000B7B9C">
        <w:t xml:space="preserve"> </w:t>
      </w:r>
      <w:r w:rsidRPr="005316C8">
        <w:t xml:space="preserve">times in the Persian </w:t>
      </w:r>
      <w:r w:rsidR="002E466A" w:rsidRPr="002E466A">
        <w:rPr>
          <w:i/>
          <w:iCs/>
        </w:rPr>
        <w:t>Bayán</w:t>
      </w:r>
      <w:r w:rsidRPr="005316C8">
        <w:t>.</w:t>
      </w:r>
      <w:r w:rsidR="002E466A">
        <w:t xml:space="preserve"> </w:t>
      </w:r>
      <w:r w:rsidRPr="005316C8">
        <w:t xml:space="preserve"> Indeed, He Whom God shall make manifest is</w:t>
      </w:r>
      <w:r w:rsidR="000B7B9C">
        <w:t xml:space="preserve"> </w:t>
      </w:r>
      <w:r w:rsidRPr="005316C8">
        <w:t xml:space="preserve">the very focal point of the </w:t>
      </w:r>
      <w:r w:rsidR="002E466A" w:rsidRPr="002E466A">
        <w:rPr>
          <w:i/>
          <w:iCs/>
        </w:rPr>
        <w:t>Bayán</w:t>
      </w:r>
      <w:r w:rsidRPr="005316C8">
        <w:t xml:space="preserve"> in that the stated purpose of the </w:t>
      </w:r>
      <w:r w:rsidR="002E466A" w:rsidRPr="002E466A">
        <w:rPr>
          <w:i/>
          <w:iCs/>
        </w:rPr>
        <w:t>Bayán</w:t>
      </w:r>
      <w:r w:rsidRPr="005316C8">
        <w:t xml:space="preserve"> and</w:t>
      </w:r>
      <w:r w:rsidR="000B7B9C">
        <w:t xml:space="preserve"> </w:t>
      </w:r>
      <w:r w:rsidRPr="005316C8">
        <w:t>its laws is to prepare the followers of the Báb for the acceptance of this</w:t>
      </w:r>
      <w:r w:rsidR="000B7B9C">
        <w:t xml:space="preserve"> </w:t>
      </w:r>
      <w:r w:rsidRPr="005316C8">
        <w:t xml:space="preserve">imminent epiphany. </w:t>
      </w:r>
      <w:r w:rsidR="002E466A">
        <w:t xml:space="preserve"> </w:t>
      </w:r>
      <w:r w:rsidRPr="005316C8">
        <w:t>For example, the Báb affirms:  ‘And know thou of a</w:t>
      </w:r>
      <w:r w:rsidR="000B7B9C">
        <w:t xml:space="preserve"> </w:t>
      </w:r>
      <w:r w:rsidRPr="005316C8">
        <w:t xml:space="preserve">certainty that every letter revealed in the </w:t>
      </w:r>
      <w:r w:rsidR="002E466A" w:rsidRPr="008C02BB">
        <w:t>Bayán</w:t>
      </w:r>
      <w:r w:rsidRPr="005316C8">
        <w:t xml:space="preserve"> is solely intended to evoke</w:t>
      </w:r>
      <w:r w:rsidR="000B7B9C">
        <w:t xml:space="preserve"> </w:t>
      </w:r>
      <w:r w:rsidRPr="005316C8">
        <w:t xml:space="preserve">submission unto Him Whom God shall make manifest </w:t>
      </w:r>
      <w:r w:rsidR="002E466A">
        <w:t>…</w:t>
      </w:r>
      <w:r w:rsidRPr="005316C8">
        <w:t>.’</w:t>
      </w:r>
      <w:r w:rsidR="002E466A">
        <w:rPr>
          <w:rStyle w:val="EndnoteReference"/>
        </w:rPr>
        <w:endnoteReference w:id="42"/>
      </w:r>
    </w:p>
    <w:p w:rsidR="00357426" w:rsidRPr="005316C8" w:rsidRDefault="00357426" w:rsidP="000B7B9C">
      <w:pPr>
        <w:pStyle w:val="Text"/>
      </w:pPr>
      <w:r w:rsidRPr="005316C8">
        <w:t xml:space="preserve">The Báb likewise affirms that all of the laws of the </w:t>
      </w:r>
      <w:r w:rsidR="002E466A" w:rsidRPr="002E466A">
        <w:rPr>
          <w:i/>
          <w:iCs/>
        </w:rPr>
        <w:t>Bayán</w:t>
      </w:r>
      <w:r w:rsidRPr="005316C8">
        <w:t xml:space="preserve"> are to stand only</w:t>
      </w:r>
      <w:r w:rsidR="000B7B9C">
        <w:t xml:space="preserve"> </w:t>
      </w:r>
      <w:r w:rsidRPr="005316C8">
        <w:t>if they are confirmed and accepted by Him Whom God shall make manifest.</w:t>
      </w:r>
      <w:r w:rsidR="000B7B9C">
        <w:t xml:space="preserve">  </w:t>
      </w:r>
      <w:r w:rsidRPr="005316C8">
        <w:t>For example:  ‘At the time of the appearance of Him Whom God shall make</w:t>
      </w:r>
      <w:r w:rsidR="000B7B9C">
        <w:t xml:space="preserve"> </w:t>
      </w:r>
      <w:r w:rsidRPr="005316C8">
        <w:t>manifest, wert thou to perform thy deeds for the sake of the Point of the</w:t>
      </w:r>
    </w:p>
    <w:p w:rsidR="002E466A" w:rsidRDefault="002E466A" w:rsidP="008C02BB">
      <w:r>
        <w:br w:type="page"/>
      </w:r>
    </w:p>
    <w:p w:rsidR="00357426" w:rsidRPr="005316C8" w:rsidRDefault="002E466A" w:rsidP="002E466A">
      <w:pPr>
        <w:pStyle w:val="Textcts"/>
      </w:pPr>
      <w:r w:rsidRPr="002E466A">
        <w:lastRenderedPageBreak/>
        <w:t>Bayán</w:t>
      </w:r>
      <w:r w:rsidR="00357426" w:rsidRPr="005316C8">
        <w:t>, they would be regarded as performed for one other than God,</w:t>
      </w:r>
      <w:r w:rsidR="000B7B9C">
        <w:t xml:space="preserve"> </w:t>
      </w:r>
      <w:r w:rsidR="00357426" w:rsidRPr="005316C8">
        <w:t xml:space="preserve">inasmuch as on that Day the Point of the </w:t>
      </w:r>
      <w:r w:rsidRPr="002E466A">
        <w:t>Bayán</w:t>
      </w:r>
      <w:r w:rsidR="00357426" w:rsidRPr="005316C8">
        <w:t xml:space="preserve"> is none other than Him</w:t>
      </w:r>
      <w:r w:rsidR="000B7B9C">
        <w:t xml:space="preserve"> </w:t>
      </w:r>
      <w:r w:rsidR="00357426" w:rsidRPr="005316C8">
        <w:t xml:space="preserve">Whom God shall make manifest </w:t>
      </w:r>
      <w:r>
        <w:t>…</w:t>
      </w:r>
      <w:r w:rsidR="00357426" w:rsidRPr="005316C8">
        <w:t>’</w:t>
      </w:r>
      <w:r>
        <w:rPr>
          <w:rStyle w:val="EndnoteReference"/>
        </w:rPr>
        <w:endnoteReference w:id="43"/>
      </w:r>
      <w:r w:rsidR="00357426" w:rsidRPr="005316C8">
        <w:t xml:space="preserve"> and ‘Thus, should the followers of</w:t>
      </w:r>
      <w:r w:rsidR="000B7B9C">
        <w:t xml:space="preserve"> </w:t>
      </w:r>
      <w:r w:rsidR="00357426" w:rsidRPr="005316C8">
        <w:t xml:space="preserve">the </w:t>
      </w:r>
      <w:r w:rsidRPr="002E466A">
        <w:t>Bayán</w:t>
      </w:r>
      <w:r w:rsidR="00357426" w:rsidRPr="005316C8">
        <w:t xml:space="preserve"> observe the precepts of Him Whom God shall make manifest at</w:t>
      </w:r>
      <w:r w:rsidR="000B7B9C">
        <w:t xml:space="preserve"> </w:t>
      </w:r>
      <w:r w:rsidR="00357426" w:rsidRPr="005316C8">
        <w:t xml:space="preserve">the time of His appearance </w:t>
      </w:r>
      <w:r>
        <w:t>…</w:t>
      </w:r>
      <w:r w:rsidR="00357426" w:rsidRPr="005316C8">
        <w:t>.</w:t>
      </w:r>
      <w:r>
        <w:rPr>
          <w:rStyle w:val="EndnoteReference"/>
        </w:rPr>
        <w:endnoteReference w:id="44"/>
      </w:r>
    </w:p>
    <w:p w:rsidR="00357426" w:rsidRPr="005316C8" w:rsidRDefault="00357426" w:rsidP="002E466A">
      <w:pPr>
        <w:pStyle w:val="Text"/>
      </w:pPr>
      <w:r w:rsidRPr="005316C8">
        <w:t>The Báb further makes clear that the revelation of Him Whom God shall</w:t>
      </w:r>
      <w:r w:rsidR="000B7B9C">
        <w:t xml:space="preserve"> </w:t>
      </w:r>
      <w:r w:rsidRPr="005316C8">
        <w:t>make manifest is greater than the Báb’s own revelation:  ‘I swear by the</w:t>
      </w:r>
      <w:r w:rsidR="000B7B9C">
        <w:t xml:space="preserve"> </w:t>
      </w:r>
      <w:r w:rsidRPr="005316C8">
        <w:t>most holy Essence of God—exalted and glorified be He—that in the Day of</w:t>
      </w:r>
      <w:r w:rsidR="000B7B9C">
        <w:t xml:space="preserve"> </w:t>
      </w:r>
      <w:r w:rsidRPr="005316C8">
        <w:t>the appearance of Him Whom God shall make manifest a thousand perusals</w:t>
      </w:r>
      <w:r w:rsidR="000B7B9C">
        <w:t xml:space="preserve"> </w:t>
      </w:r>
      <w:r w:rsidRPr="005316C8">
        <w:t xml:space="preserve">of the </w:t>
      </w:r>
      <w:r w:rsidR="002E466A" w:rsidRPr="002E466A">
        <w:t>Bayán</w:t>
      </w:r>
      <w:r w:rsidRPr="005316C8">
        <w:t xml:space="preserve"> cannot equal the perusal of a single verse to be revealed by Him</w:t>
      </w:r>
      <w:r w:rsidR="000B7B9C">
        <w:t xml:space="preserve"> </w:t>
      </w:r>
      <w:r w:rsidRPr="005316C8">
        <w:t>Who God shall make manifest.’</w:t>
      </w:r>
      <w:r w:rsidR="002E466A">
        <w:rPr>
          <w:rStyle w:val="EndnoteReference"/>
        </w:rPr>
        <w:endnoteReference w:id="45"/>
      </w:r>
    </w:p>
    <w:p w:rsidR="00357426" w:rsidRPr="005316C8" w:rsidRDefault="00357426" w:rsidP="002E466A">
      <w:pPr>
        <w:pStyle w:val="Text"/>
      </w:pPr>
      <w:r w:rsidRPr="005316C8">
        <w:t>Thus, in the same book and at the same time that the Báb finally uses his</w:t>
      </w:r>
      <w:r w:rsidR="000B7B9C">
        <w:t xml:space="preserve"> </w:t>
      </w:r>
      <w:r w:rsidRPr="005316C8">
        <w:t>full authority to establish the laws of his religious dispensation, he states that</w:t>
      </w:r>
      <w:r w:rsidR="000B7B9C">
        <w:t xml:space="preserve"> </w:t>
      </w:r>
      <w:r w:rsidRPr="005316C8">
        <w:t>his system is to be short-lived and sharply focused.</w:t>
      </w:r>
      <w:r w:rsidR="002E466A">
        <w:t xml:space="preserve"> </w:t>
      </w:r>
      <w:r w:rsidRPr="005316C8">
        <w:t xml:space="preserve"> It is to prepare the way</w:t>
      </w:r>
      <w:r w:rsidR="000B7B9C">
        <w:t xml:space="preserve"> </w:t>
      </w:r>
      <w:r w:rsidRPr="005316C8">
        <w:t>for the imminent advent of another, greater revelation.</w:t>
      </w:r>
      <w:r w:rsidR="002E466A">
        <w:rPr>
          <w:rStyle w:val="EndnoteReference"/>
        </w:rPr>
        <w:endnoteReference w:id="46"/>
      </w:r>
      <w:r w:rsidRPr="005316C8">
        <w:t xml:space="preserve">  Therefore, the true</w:t>
      </w:r>
      <w:r w:rsidR="000B7B9C">
        <w:t xml:space="preserve"> </w:t>
      </w:r>
      <w:r w:rsidRPr="005316C8">
        <w:t>meaning of the title ‘Báb’ or ‘gate’ is that ‘Alí-Muḥammad considered</w:t>
      </w:r>
      <w:r w:rsidR="000B7B9C">
        <w:t xml:space="preserve"> </w:t>
      </w:r>
      <w:r w:rsidRPr="005316C8">
        <w:t>himself to be the gate or forerunner of a second Manifestation of God:</w:t>
      </w:r>
    </w:p>
    <w:p w:rsidR="00357426" w:rsidRPr="005316C8" w:rsidRDefault="00357426" w:rsidP="000B7B9C">
      <w:pPr>
        <w:pStyle w:val="Quote"/>
      </w:pPr>
      <w:r w:rsidRPr="005316C8">
        <w:t>The Báb declared Himself at the beginning of His mission to be the ‘Báb’ by</w:t>
      </w:r>
      <w:r w:rsidR="000B7B9C">
        <w:t xml:space="preserve"> </w:t>
      </w:r>
      <w:r w:rsidRPr="005316C8">
        <w:t>which He meant to be the gate or forerunner of ‘Him Whom God will make</w:t>
      </w:r>
      <w:r w:rsidR="000B7B9C">
        <w:t xml:space="preserve"> </w:t>
      </w:r>
      <w:r w:rsidRPr="005316C8">
        <w:t xml:space="preserve">manifest’, that is to say Bahá’u’lláh, Whose advent the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‘ahs expected in the</w:t>
      </w:r>
      <w:r w:rsidR="000B7B9C">
        <w:t xml:space="preserve"> </w:t>
      </w:r>
      <w:r w:rsidRPr="005316C8">
        <w:t xml:space="preserve">person of ‘the return of the Imám Ḥusayn’. </w:t>
      </w:r>
      <w:r w:rsidR="00426A8A">
        <w:t xml:space="preserve"> </w:t>
      </w:r>
      <w:r w:rsidRPr="005316C8">
        <w:t>The Sunnís also believe in a similar</w:t>
      </w:r>
      <w:r w:rsidR="000B7B9C">
        <w:t xml:space="preserve"> </w:t>
      </w:r>
      <w:r w:rsidRPr="005316C8">
        <w:t>twofold manifestation, the first they call ‘the Mihdí’, the second ‘the Return of</w:t>
      </w:r>
      <w:r w:rsidR="000B7B9C">
        <w:t xml:space="preserve"> </w:t>
      </w:r>
      <w:r w:rsidRPr="005316C8">
        <w:t>Christ’.</w:t>
      </w:r>
      <w:r w:rsidR="002E466A">
        <w:t xml:space="preserve"> </w:t>
      </w:r>
      <w:r w:rsidRPr="005316C8">
        <w:t xml:space="preserve"> By the term Báb, the Báb meant to be the forerunner of the second</w:t>
      </w:r>
      <w:r w:rsidR="000B7B9C">
        <w:t xml:space="preserve"> </w:t>
      </w:r>
      <w:r w:rsidRPr="005316C8">
        <w:t>manifestation rather than, as some have maintained, the gate of the Qá’im.</w:t>
      </w:r>
      <w:r w:rsidR="000B7B9C">
        <w:t xml:space="preserve">  </w:t>
      </w:r>
      <w:r w:rsidRPr="005316C8">
        <w:t>When He declared Himself to be the Báb, the people understood by the term</w:t>
      </w:r>
      <w:r w:rsidR="000B7B9C">
        <w:t xml:space="preserve"> </w:t>
      </w:r>
      <w:r w:rsidRPr="005316C8">
        <w:t>that He was an intermediary between the absent Qá’im and His followers,</w:t>
      </w:r>
      <w:r w:rsidR="000B7B9C">
        <w:t xml:space="preserve"> </w:t>
      </w:r>
      <w:r w:rsidRPr="005316C8">
        <w:t xml:space="preserve">though He Himself never meant to be such a person. </w:t>
      </w:r>
      <w:r w:rsidR="002E466A">
        <w:t xml:space="preserve"> </w:t>
      </w:r>
      <w:r w:rsidRPr="005316C8">
        <w:t>All He claimed to be was</w:t>
      </w:r>
      <w:r w:rsidR="000B7B9C">
        <w:t xml:space="preserve"> </w:t>
      </w:r>
      <w:r w:rsidRPr="005316C8">
        <w:t>that He was the Qá’ím Himself and in addition to this station, that of the Báb,</w:t>
      </w:r>
      <w:r w:rsidR="000B7B9C">
        <w:t xml:space="preserve"> </w:t>
      </w:r>
      <w:r w:rsidRPr="005316C8">
        <w:t>namely the gate or forerunner of ‘Him Whom God will make manifest’.</w:t>
      </w:r>
      <w:r w:rsidR="002E466A">
        <w:rPr>
          <w:rStyle w:val="EndnoteReference"/>
        </w:rPr>
        <w:endnoteReference w:id="47"/>
      </w:r>
    </w:p>
    <w:p w:rsidR="00357426" w:rsidRPr="005316C8" w:rsidRDefault="00357426" w:rsidP="002E466A">
      <w:pPr>
        <w:pStyle w:val="Text"/>
      </w:pPr>
      <w:r w:rsidRPr="005316C8">
        <w:t>Let us sum up:  from the beginning of his ministry, the Báb laid claim to</w:t>
      </w:r>
      <w:r w:rsidR="000B7B9C">
        <w:t xml:space="preserve"> </w:t>
      </w:r>
      <w:r w:rsidRPr="005316C8">
        <w:t>the station of the bearer of an independent divine revelation, thus of one</w:t>
      </w:r>
      <w:r w:rsidR="000B7B9C">
        <w:t xml:space="preserve"> </w:t>
      </w:r>
      <w:r w:rsidRPr="005316C8">
        <w:t>having the authority to inaugurate a new religious dispensation and to</w:t>
      </w:r>
      <w:r w:rsidR="000B7B9C">
        <w:t xml:space="preserve"> </w:t>
      </w:r>
      <w:r w:rsidRPr="005316C8">
        <w:t xml:space="preserve">proclaim new laws and principles. </w:t>
      </w:r>
      <w:r w:rsidR="002E466A">
        <w:t xml:space="preserve"> </w:t>
      </w:r>
      <w:r w:rsidRPr="005316C8">
        <w:t>However, in the early period of his</w:t>
      </w:r>
      <w:r w:rsidR="000B7B9C">
        <w:t xml:space="preserve"> </w:t>
      </w:r>
      <w:r w:rsidRPr="005316C8">
        <w:t>ministry, he used the term ‘Gate’ (Báb) in a deliberately ambiguous way in</w:t>
      </w:r>
      <w:r w:rsidR="000B7B9C">
        <w:t xml:space="preserve"> </w:t>
      </w:r>
      <w:r w:rsidRPr="005316C8">
        <w:t>order to diminish somewhat the impact of his otherwise unequivocal claim to</w:t>
      </w:r>
      <w:r w:rsidR="000B7B9C">
        <w:t xml:space="preserve"> </w:t>
      </w:r>
      <w:r w:rsidRPr="005316C8">
        <w:t xml:space="preserve">divine revelation. </w:t>
      </w:r>
      <w:r w:rsidR="002E466A">
        <w:t xml:space="preserve"> </w:t>
      </w:r>
      <w:r w:rsidRPr="005316C8">
        <w:t>He also refrained, in the beginning, from using the full</w:t>
      </w:r>
      <w:r w:rsidR="000B7B9C">
        <w:t xml:space="preserve"> </w:t>
      </w:r>
      <w:r w:rsidRPr="005316C8">
        <w:t>powers with which he felt himself invested to avoid giving an unnecessary</w:t>
      </w:r>
      <w:r w:rsidR="000B7B9C">
        <w:t xml:space="preserve"> </w:t>
      </w:r>
      <w:r w:rsidRPr="005316C8">
        <w:t>shock to the Islamic recipients of his message, and to reaffirm the essentials</w:t>
      </w:r>
      <w:r w:rsidR="000B7B9C">
        <w:t xml:space="preserve"> </w:t>
      </w:r>
      <w:r w:rsidRPr="005316C8">
        <w:t xml:space="preserve">of Islám and its laws. </w:t>
      </w:r>
      <w:r w:rsidR="002E466A">
        <w:t xml:space="preserve"> </w:t>
      </w:r>
      <w:r w:rsidRPr="005316C8">
        <w:t>He was explicit in stating this principle of his mission.</w:t>
      </w:r>
      <w:r w:rsidR="000B7B9C">
        <w:t xml:space="preserve">  </w:t>
      </w:r>
      <w:r w:rsidRPr="005316C8">
        <w:t>After a four-year period fraught with numerous events,</w:t>
      </w:r>
      <w:r w:rsidR="002E466A">
        <w:rPr>
          <w:rStyle w:val="EndnoteReference"/>
        </w:rPr>
        <w:endnoteReference w:id="48"/>
      </w:r>
      <w:r w:rsidRPr="005316C8">
        <w:t xml:space="preserve"> the Báb then wrote</w:t>
      </w:r>
      <w:r w:rsidR="000B7B9C">
        <w:t xml:space="preserve"> </w:t>
      </w:r>
      <w:r w:rsidRPr="005316C8">
        <w:t xml:space="preserve">both the Arabic </w:t>
      </w:r>
      <w:r w:rsidR="002E466A" w:rsidRPr="002E466A">
        <w:rPr>
          <w:i/>
          <w:iCs/>
        </w:rPr>
        <w:t>Bayán</w:t>
      </w:r>
      <w:r w:rsidRPr="005316C8">
        <w:t xml:space="preserve"> and the Persian </w:t>
      </w:r>
      <w:r w:rsidR="002E466A" w:rsidRPr="002E466A">
        <w:rPr>
          <w:i/>
          <w:iCs/>
        </w:rPr>
        <w:t>Bayán</w:t>
      </w:r>
      <w:r w:rsidRPr="005316C8">
        <w:t xml:space="preserve"> in which he reiterated his</w:t>
      </w:r>
      <w:r w:rsidR="000B7B9C">
        <w:t xml:space="preserve"> </w:t>
      </w:r>
      <w:r w:rsidRPr="005316C8">
        <w:t>claims to divine revelation and put forth an entirely new set of laws,</w:t>
      </w:r>
      <w:r w:rsidR="000B7B9C">
        <w:t xml:space="preserve"> </w:t>
      </w:r>
      <w:r w:rsidRPr="005316C8">
        <w:t xml:space="preserve">abrogating those of Islám. </w:t>
      </w:r>
      <w:r w:rsidR="00426A8A">
        <w:t xml:space="preserve"> </w:t>
      </w:r>
      <w:r w:rsidRPr="005316C8">
        <w:t>At the same time, he stated clearly that the entire</w:t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Textcts"/>
      </w:pPr>
      <w:r w:rsidRPr="005316C8">
        <w:lastRenderedPageBreak/>
        <w:t>purpose of his system and his cause was to prepare his followers for the</w:t>
      </w:r>
      <w:r w:rsidR="000B7B9C">
        <w:t xml:space="preserve"> </w:t>
      </w:r>
      <w:r w:rsidRPr="005316C8">
        <w:t>recognition and acceptance of a further, greater Manifestation of God soon to</w:t>
      </w:r>
      <w:r w:rsidR="000B7B9C">
        <w:t xml:space="preserve"> </w:t>
      </w:r>
      <w:r w:rsidRPr="005316C8">
        <w:t>come, clarifying thereby the true meaning of the title ‘Báb’.</w:t>
      </w:r>
      <w:r w:rsidR="002E466A">
        <w:rPr>
          <w:rStyle w:val="EndnoteReference"/>
        </w:rPr>
        <w:endnoteReference w:id="49"/>
      </w:r>
    </w:p>
    <w:p w:rsidR="00357426" w:rsidRPr="005316C8" w:rsidRDefault="00357426" w:rsidP="002E466A">
      <w:pPr>
        <w:pStyle w:val="Myhead"/>
      </w:pPr>
      <w:r w:rsidRPr="005316C8">
        <w:t>J</w:t>
      </w:r>
      <w:r w:rsidR="002E466A" w:rsidRPr="005316C8">
        <w:t xml:space="preserve">ihád and the </w:t>
      </w:r>
      <w:r w:rsidRPr="005316C8">
        <w:t>W</w:t>
      </w:r>
      <w:r w:rsidR="002E466A" w:rsidRPr="005316C8">
        <w:t xml:space="preserve">ritings of the </w:t>
      </w:r>
      <w:r w:rsidRPr="005316C8">
        <w:t>B</w:t>
      </w:r>
      <w:r w:rsidR="002E466A" w:rsidRPr="005316C8">
        <w:t>áb</w:t>
      </w:r>
    </w:p>
    <w:p w:rsidR="00357426" w:rsidRPr="005316C8" w:rsidRDefault="00357426" w:rsidP="000B7B9C">
      <w:pPr>
        <w:pStyle w:val="Text"/>
      </w:pPr>
      <w:r w:rsidRPr="005316C8">
        <w:t>The preceding discussion has already drawn attention to the fact that the</w:t>
      </w:r>
      <w:r w:rsidR="000B7B9C">
        <w:t xml:space="preserve"> </w:t>
      </w:r>
      <w:r w:rsidRPr="005316C8">
        <w:t xml:space="preserve">doctrine of </w:t>
      </w:r>
      <w:r w:rsidR="007031B1" w:rsidRPr="007031B1">
        <w:rPr>
          <w:i/>
          <w:iCs/>
        </w:rPr>
        <w:t>jihád</w:t>
      </w:r>
      <w:r w:rsidRPr="005316C8">
        <w:t xml:space="preserve"> which MacEoin attributes to the Báb is derived from the</w:t>
      </w:r>
      <w:r w:rsidR="000B7B9C">
        <w:t xml:space="preserve"> </w:t>
      </w:r>
      <w:r w:rsidR="002E466A" w:rsidRPr="002E466A">
        <w:rPr>
          <w:i/>
          <w:iCs/>
        </w:rPr>
        <w:t>Qayyúmu’l-Asmá’</w:t>
      </w:r>
      <w:r w:rsidRPr="005316C8">
        <w:t>, the first work of the Báb.</w:t>
      </w:r>
      <w:r w:rsidR="002E466A">
        <w:t xml:space="preserve"> </w:t>
      </w:r>
      <w:r w:rsidRPr="005316C8">
        <w:t xml:space="preserve"> Furthermore, we have seen that</w:t>
      </w:r>
      <w:r w:rsidR="000B7B9C">
        <w:t xml:space="preserve"> </w:t>
      </w:r>
      <w:r w:rsidRPr="005316C8">
        <w:t xml:space="preserve">for the first four years of his ministry (and in particular in the </w:t>
      </w:r>
      <w:r w:rsidRPr="002E466A">
        <w:rPr>
          <w:i/>
          <w:iCs/>
        </w:rPr>
        <w:t>Qayyúmu’l-Asmá’</w:t>
      </w:r>
      <w:r w:rsidRPr="005316C8">
        <w:t xml:space="preserve">), the Báb strictly enjoined adherence to Qur’anic law. </w:t>
      </w:r>
      <w:r w:rsidR="002E466A">
        <w:t xml:space="preserve"> </w:t>
      </w:r>
      <w:r w:rsidRPr="005316C8">
        <w:t>It is therefore</w:t>
      </w:r>
      <w:r w:rsidR="000B7B9C">
        <w:t xml:space="preserve"> </w:t>
      </w:r>
      <w:r w:rsidRPr="005316C8">
        <w:t xml:space="preserve">clear that the doctrine of </w:t>
      </w:r>
      <w:r w:rsidR="007031B1" w:rsidRPr="007031B1">
        <w:rPr>
          <w:i/>
          <w:iCs/>
        </w:rPr>
        <w:t>jihád</w:t>
      </w:r>
      <w:r w:rsidRPr="005316C8">
        <w:t xml:space="preserve"> in the </w:t>
      </w:r>
      <w:r w:rsidR="002E466A" w:rsidRPr="002E466A">
        <w:rPr>
          <w:i/>
          <w:iCs/>
        </w:rPr>
        <w:t>Qayyúmu’l-Asmá’</w:t>
      </w:r>
      <w:r w:rsidRPr="005316C8">
        <w:t xml:space="preserve"> is not the Báb’s at all</w:t>
      </w:r>
      <w:r w:rsidR="000B7B9C">
        <w:t xml:space="preserve"> </w:t>
      </w:r>
      <w:r w:rsidRPr="005316C8">
        <w:t>but is rather the Qur’anic doctrine which the Báb is simply reiterating in the</w:t>
      </w:r>
      <w:r w:rsidR="000B7B9C">
        <w:t xml:space="preserve"> </w:t>
      </w:r>
      <w:r w:rsidRPr="005316C8">
        <w:t>same manner as he did with a number of Qur’anic laws in the course of the</w:t>
      </w:r>
      <w:r w:rsidR="000B7B9C">
        <w:t xml:space="preserve"> </w:t>
      </w:r>
      <w:r w:rsidR="002E466A" w:rsidRPr="002E466A">
        <w:rPr>
          <w:i/>
          <w:iCs/>
        </w:rPr>
        <w:t>Qayyúmu’l-Asmá’</w:t>
      </w:r>
      <w:r w:rsidRPr="005316C8">
        <w:t xml:space="preserve">. </w:t>
      </w:r>
      <w:r w:rsidR="002E466A">
        <w:t xml:space="preserve"> </w:t>
      </w:r>
      <w:r w:rsidRPr="005316C8">
        <w:t>That this is so is implicitly recognized by MacEoin:</w:t>
      </w:r>
    </w:p>
    <w:p w:rsidR="00357426" w:rsidRPr="005316C8" w:rsidRDefault="00357426" w:rsidP="002E466A">
      <w:pPr>
        <w:pStyle w:val="Quote"/>
      </w:pPr>
      <w:r w:rsidRPr="005316C8">
        <w:t xml:space="preserve">The regulations governing the conduct of </w:t>
      </w:r>
      <w:r w:rsidR="007031B1" w:rsidRPr="008C02BB">
        <w:rPr>
          <w:i/>
          <w:iCs w:val="0"/>
        </w:rPr>
        <w:t>jihád</w:t>
      </w:r>
      <w:r w:rsidRPr="005316C8">
        <w:t xml:space="preserve"> are set out in a number of places</w:t>
      </w:r>
      <w:r w:rsidR="000B7B9C">
        <w:t xml:space="preserve"> </w:t>
      </w:r>
      <w:r w:rsidRPr="005316C8">
        <w:t xml:space="preserve">in the </w:t>
      </w:r>
      <w:r w:rsidRPr="002E466A">
        <w:rPr>
          <w:i/>
          <w:iCs w:val="0"/>
        </w:rPr>
        <w:t>Qayyúm al-asmá’</w:t>
      </w:r>
      <w:r w:rsidRPr="005316C8">
        <w:t>, principally in súras 96 to 101.</w:t>
      </w:r>
      <w:r w:rsidR="002E466A">
        <w:t xml:space="preserve"> </w:t>
      </w:r>
      <w:r w:rsidRPr="005316C8">
        <w:t xml:space="preserve"> For the most part these</w:t>
      </w:r>
      <w:r w:rsidR="000B7B9C">
        <w:t xml:space="preserve"> </w:t>
      </w:r>
      <w:r w:rsidRPr="005316C8">
        <w:t>consist, like a great many passages of the book (notably those dealing with</w:t>
      </w:r>
      <w:r w:rsidR="000B7B9C">
        <w:t xml:space="preserve"> </w:t>
      </w:r>
      <w:r w:rsidRPr="005316C8">
        <w:t>legislation), of verbatim or near-verbatim reproductions of existing Quranic</w:t>
      </w:r>
      <w:r w:rsidR="000B7B9C">
        <w:t xml:space="preserve"> </w:t>
      </w:r>
      <w:r w:rsidRPr="005316C8">
        <w:t>passages or echoes of such passages, with only occasionally novel features</w:t>
      </w:r>
      <w:r w:rsidR="000B7B9C">
        <w:t xml:space="preserve"> </w:t>
      </w:r>
      <w:r w:rsidRPr="005316C8">
        <w:t xml:space="preserve">introduced by the Báb himself </w:t>
      </w:r>
      <w:r w:rsidR="002E466A">
        <w:t>…</w:t>
      </w:r>
      <w:r w:rsidRPr="005316C8">
        <w:t xml:space="preserve"> we shall attempt to outline the main features</w:t>
      </w:r>
      <w:r w:rsidR="000B7B9C">
        <w:t xml:space="preserve"> </w:t>
      </w:r>
      <w:r w:rsidRPr="005316C8">
        <w:t xml:space="preserve">of the Báb’s directions concerning </w:t>
      </w:r>
      <w:r w:rsidR="007031B1" w:rsidRPr="008C02BB">
        <w:rPr>
          <w:i/>
          <w:iCs w:val="0"/>
        </w:rPr>
        <w:t>jihád</w:t>
      </w:r>
      <w:r w:rsidRPr="005316C8">
        <w:t>, with brief references in the notes to what</w:t>
      </w:r>
      <w:r w:rsidR="000B7B9C">
        <w:t xml:space="preserve"> </w:t>
      </w:r>
      <w:r w:rsidRPr="005316C8">
        <w:t>seem to be the Quranic original, where appropriate.</w:t>
      </w:r>
      <w:r w:rsidR="002E466A">
        <w:rPr>
          <w:rStyle w:val="EndnoteReference"/>
        </w:rPr>
        <w:endnoteReference w:id="50"/>
      </w:r>
    </w:p>
    <w:p w:rsidR="00357426" w:rsidRPr="005316C8" w:rsidRDefault="00357426" w:rsidP="002E466A">
      <w:pPr>
        <w:pStyle w:val="Text"/>
      </w:pPr>
      <w:r w:rsidRPr="005316C8">
        <w:t xml:space="preserve">Thus, the passages of the </w:t>
      </w:r>
      <w:r w:rsidR="002E466A" w:rsidRPr="002E466A">
        <w:rPr>
          <w:i/>
          <w:iCs/>
        </w:rPr>
        <w:t>Qayyúmu’l-Asmá’</w:t>
      </w:r>
      <w:r w:rsidRPr="005316C8">
        <w:t xml:space="preserve"> referring to </w:t>
      </w:r>
      <w:r w:rsidR="007031B1" w:rsidRPr="007031B1">
        <w:rPr>
          <w:i/>
          <w:iCs/>
        </w:rPr>
        <w:t>jihád</w:t>
      </w:r>
      <w:r w:rsidRPr="005316C8">
        <w:t xml:space="preserve"> do not</w:t>
      </w:r>
      <w:r w:rsidR="000B7B9C">
        <w:t xml:space="preserve"> </w:t>
      </w:r>
      <w:r w:rsidRPr="005316C8">
        <w:t xml:space="preserve">constitute a Bábí doctrine of </w:t>
      </w:r>
      <w:r w:rsidR="007031B1" w:rsidRPr="007031B1">
        <w:rPr>
          <w:i/>
          <w:iCs/>
        </w:rPr>
        <w:t>jihád</w:t>
      </w:r>
      <w:r w:rsidRPr="005316C8">
        <w:t xml:space="preserve"> but simply a restatement in almost</w:t>
      </w:r>
      <w:r w:rsidR="000B7B9C">
        <w:t xml:space="preserve"> </w:t>
      </w:r>
      <w:r w:rsidRPr="005316C8">
        <w:t>identical terms of the Qur’anic doctrine.</w:t>
      </w:r>
      <w:r w:rsidR="002E466A">
        <w:rPr>
          <w:rStyle w:val="EndnoteReference"/>
        </w:rPr>
        <w:endnoteReference w:id="51"/>
      </w:r>
      <w:r w:rsidRPr="005316C8">
        <w:t xml:space="preserve">  In fact, the Báb’s treatment of</w:t>
      </w:r>
      <w:r w:rsidR="000B7B9C">
        <w:t xml:space="preserve"> </w:t>
      </w:r>
      <w:r w:rsidR="007031B1" w:rsidRPr="007031B1">
        <w:rPr>
          <w:i/>
          <w:iCs/>
        </w:rPr>
        <w:t>jihád</w:t>
      </w:r>
      <w:r w:rsidRPr="005316C8">
        <w:t xml:space="preserve"> in the </w:t>
      </w:r>
      <w:r w:rsidR="002E466A" w:rsidRPr="002E466A">
        <w:rPr>
          <w:i/>
          <w:iCs/>
        </w:rPr>
        <w:t>Qayyúmu’l-Asmá’</w:t>
      </w:r>
      <w:r w:rsidRPr="005316C8">
        <w:t xml:space="preserve"> really amounts to a first step towards a</w:t>
      </w:r>
      <w:r w:rsidR="000B7B9C">
        <w:t xml:space="preserve"> </w:t>
      </w:r>
      <w:r w:rsidRPr="005316C8">
        <w:t xml:space="preserve">restriction of the Islamic law of </w:t>
      </w:r>
      <w:r w:rsidR="007031B1" w:rsidRPr="007031B1">
        <w:rPr>
          <w:i/>
          <w:iCs/>
        </w:rPr>
        <w:t>jihád</w:t>
      </w:r>
      <w:r w:rsidRPr="005316C8">
        <w:t xml:space="preserve"> as conceived at the time of the Báb, for</w:t>
      </w:r>
      <w:r w:rsidR="000B7B9C">
        <w:t xml:space="preserve"> </w:t>
      </w:r>
      <w:r w:rsidRPr="005316C8">
        <w:t xml:space="preserve">the Báb clearly made the waging of </w:t>
      </w:r>
      <w:r w:rsidR="007031B1" w:rsidRPr="007031B1">
        <w:rPr>
          <w:i/>
          <w:iCs/>
        </w:rPr>
        <w:t>jihád</w:t>
      </w:r>
      <w:r w:rsidRPr="005316C8">
        <w:t xml:space="preserve"> contingent on his orders, whereas</w:t>
      </w:r>
      <w:r w:rsidR="000B7B9C">
        <w:t xml:space="preserve">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‘ih tradition had developed a number of special cases which allowed for</w:t>
      </w:r>
      <w:r w:rsidR="000B7B9C">
        <w:t xml:space="preserve"> </w:t>
      </w:r>
      <w:r w:rsidR="007031B1" w:rsidRPr="007031B1">
        <w:rPr>
          <w:i/>
          <w:iCs/>
        </w:rPr>
        <w:t>jihád</w:t>
      </w:r>
      <w:r w:rsidRPr="005316C8">
        <w:t xml:space="preserve"> to be waged in more general circumstances. </w:t>
      </w:r>
      <w:r w:rsidR="002E466A">
        <w:t xml:space="preserve"> </w:t>
      </w:r>
      <w:r w:rsidRPr="005316C8">
        <w:t xml:space="preserve">By making </w:t>
      </w:r>
      <w:r w:rsidR="007031B1" w:rsidRPr="007031B1">
        <w:rPr>
          <w:i/>
          <w:iCs/>
        </w:rPr>
        <w:t>jihád</w:t>
      </w:r>
      <w:r w:rsidR="000B7B9C">
        <w:t xml:space="preserve"> </w:t>
      </w:r>
      <w:r w:rsidRPr="005316C8">
        <w:t>conditional on his approval, and by withholding that approval (as the Báb</w:t>
      </w:r>
      <w:r w:rsidR="000B7B9C">
        <w:t xml:space="preserve"> </w:t>
      </w:r>
      <w:r w:rsidRPr="005316C8">
        <w:t xml:space="preserve">did), he effectively abrogated the waging of </w:t>
      </w:r>
      <w:r w:rsidR="007031B1" w:rsidRPr="007031B1">
        <w:rPr>
          <w:i/>
          <w:iCs/>
        </w:rPr>
        <w:t>jihád</w:t>
      </w:r>
      <w:r w:rsidRPr="005316C8">
        <w:t>, but without explicitly</w:t>
      </w:r>
      <w:r w:rsidR="000B7B9C">
        <w:t xml:space="preserve"> </w:t>
      </w:r>
      <w:r w:rsidRPr="005316C8">
        <w:t>denying the Qur’anic doctrine of holy war.</w:t>
      </w:r>
      <w:r w:rsidR="002E466A">
        <w:rPr>
          <w:rStyle w:val="EndnoteReference"/>
        </w:rPr>
        <w:endnoteReference w:id="52"/>
      </w:r>
    </w:p>
    <w:p w:rsidR="00357426" w:rsidRPr="005316C8" w:rsidRDefault="00357426" w:rsidP="002E466A">
      <w:pPr>
        <w:pStyle w:val="Text"/>
      </w:pPr>
      <w:r w:rsidRPr="005316C8">
        <w:t xml:space="preserve">Yet another point should be stressed here. </w:t>
      </w:r>
      <w:r w:rsidR="002E466A">
        <w:t xml:space="preserve"> </w:t>
      </w:r>
      <w:r w:rsidRPr="005316C8">
        <w:t>The Qur’anic doctrine made</w:t>
      </w:r>
      <w:r w:rsidR="000B7B9C">
        <w:t xml:space="preserve"> </w:t>
      </w:r>
      <w:r w:rsidRPr="005316C8">
        <w:t>holy war legitimate only against unbelievers, i.e., non-Muslims.</w:t>
      </w:r>
      <w:r w:rsidR="002E466A">
        <w:t xml:space="preserve"> </w:t>
      </w:r>
      <w:r w:rsidRPr="005316C8">
        <w:t xml:space="preserve"> Since the</w:t>
      </w:r>
      <w:r w:rsidR="000B7B9C">
        <w:t xml:space="preserve"> </w:t>
      </w:r>
      <w:r w:rsidR="002E466A" w:rsidRPr="002E466A">
        <w:rPr>
          <w:i/>
          <w:iCs/>
        </w:rPr>
        <w:t>Qayyúmu’l-Asmá’</w:t>
      </w:r>
      <w:r w:rsidRPr="005316C8">
        <w:t xml:space="preserve"> strictly enjoins obedience to Qur’anic law, the references to</w:t>
      </w:r>
      <w:r w:rsidR="000B7B9C">
        <w:t xml:space="preserve"> </w:t>
      </w:r>
      <w:r w:rsidR="007031B1" w:rsidRPr="007031B1">
        <w:rPr>
          <w:i/>
          <w:iCs/>
        </w:rPr>
        <w:t>jihád</w:t>
      </w:r>
      <w:r w:rsidRPr="005316C8">
        <w:t xml:space="preserve"> in the </w:t>
      </w:r>
      <w:r w:rsidR="002E466A" w:rsidRPr="002E466A">
        <w:rPr>
          <w:i/>
          <w:iCs/>
        </w:rPr>
        <w:t>Qayyúmu’l-Asmá’</w:t>
      </w:r>
      <w:r w:rsidRPr="005316C8">
        <w:t xml:space="preserve"> could not have been taken or understood by the</w:t>
      </w:r>
      <w:r w:rsidR="000B7B9C">
        <w:t xml:space="preserve"> </w:t>
      </w:r>
      <w:r w:rsidRPr="005316C8">
        <w:t xml:space="preserve">Báb’s followers as legitimizing a holy war against their fellow Muslims. </w:t>
      </w:r>
      <w:r w:rsidR="002E466A">
        <w:t xml:space="preserve"> </w:t>
      </w:r>
      <w:r w:rsidRPr="005316C8">
        <w:t>But it</w:t>
      </w:r>
      <w:r w:rsidR="000B7B9C">
        <w:t xml:space="preserve"> </w:t>
      </w:r>
      <w:r w:rsidRPr="005316C8">
        <w:t>is with these very Muslims that the Bábís eventually had their bloody</w:t>
      </w:r>
      <w:r w:rsidR="000B7B9C">
        <w:t xml:space="preserve"> </w:t>
      </w:r>
      <w:r w:rsidRPr="005316C8">
        <w:t xml:space="preserve">encounters. </w:t>
      </w:r>
      <w:r w:rsidR="002E466A">
        <w:t xml:space="preserve"> </w:t>
      </w:r>
      <w:r w:rsidRPr="005316C8">
        <w:t xml:space="preserve">This, again, suggests strongly that the </w:t>
      </w:r>
      <w:r w:rsidR="007031B1" w:rsidRPr="007031B1">
        <w:rPr>
          <w:i/>
          <w:iCs/>
        </w:rPr>
        <w:t>jihád</w:t>
      </w:r>
      <w:r w:rsidRPr="005316C8">
        <w:t xml:space="preserve"> doctrine of the</w:t>
      </w:r>
      <w:r w:rsidR="000B7B9C">
        <w:t xml:space="preserve"> </w:t>
      </w:r>
      <w:r w:rsidR="002E466A" w:rsidRPr="002E466A">
        <w:rPr>
          <w:i/>
          <w:iCs/>
        </w:rPr>
        <w:t>Qayyúmu’l-Asmá’</w:t>
      </w:r>
      <w:r w:rsidRPr="005316C8">
        <w:t xml:space="preserve"> cannot be an explanation for or a key to the understanding</w:t>
      </w:r>
      <w:r w:rsidR="000B7B9C">
        <w:t xml:space="preserve"> </w:t>
      </w:r>
      <w:r w:rsidRPr="005316C8">
        <w:t>of these encounters.</w:t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Text"/>
      </w:pPr>
      <w:r w:rsidRPr="005316C8">
        <w:lastRenderedPageBreak/>
        <w:t xml:space="preserve">If we turn, now, to a consideration of the Persian </w:t>
      </w:r>
      <w:r w:rsidR="002E466A" w:rsidRPr="002E466A">
        <w:rPr>
          <w:i/>
          <w:iCs/>
        </w:rPr>
        <w:t>Bayán</w:t>
      </w:r>
      <w:r w:rsidRPr="005316C8">
        <w:t>, the book which</w:t>
      </w:r>
      <w:r w:rsidR="000B7B9C">
        <w:t xml:space="preserve"> </w:t>
      </w:r>
      <w:r w:rsidRPr="005316C8">
        <w:t xml:space="preserve">contains the new laws of the Bábí dispensation, we find that there is no </w:t>
      </w:r>
      <w:r w:rsidR="007031B1" w:rsidRPr="007031B1">
        <w:rPr>
          <w:i/>
          <w:iCs/>
        </w:rPr>
        <w:t>jihád</w:t>
      </w:r>
      <w:r w:rsidR="000B7B9C">
        <w:t xml:space="preserve"> </w:t>
      </w:r>
      <w:r w:rsidRPr="005316C8">
        <w:t>doctrine whatever.</w:t>
      </w:r>
      <w:r w:rsidR="002E466A">
        <w:t xml:space="preserve"> </w:t>
      </w:r>
      <w:r w:rsidRPr="005316C8">
        <w:t xml:space="preserve"> In fact, the word </w:t>
      </w:r>
      <w:r w:rsidR="007031B1" w:rsidRPr="007031B1">
        <w:rPr>
          <w:i/>
          <w:iCs/>
        </w:rPr>
        <w:t>jihád</w:t>
      </w:r>
      <w:r w:rsidRPr="005316C8">
        <w:t xml:space="preserve"> appears only twice in the entire</w:t>
      </w:r>
      <w:r w:rsidR="000B7B9C">
        <w:t xml:space="preserve"> </w:t>
      </w:r>
      <w:r w:rsidRPr="005316C8">
        <w:t xml:space="preserve">corpus of the Persian </w:t>
      </w:r>
      <w:r w:rsidR="002E466A" w:rsidRPr="002E466A">
        <w:rPr>
          <w:i/>
          <w:iCs/>
        </w:rPr>
        <w:t>Bayán</w:t>
      </w:r>
      <w:r w:rsidRPr="005316C8">
        <w:t>, both of them being incidental references.</w:t>
      </w:r>
      <w:r w:rsidR="002E466A">
        <w:rPr>
          <w:rStyle w:val="EndnoteReference"/>
        </w:rPr>
        <w:endnoteReference w:id="53"/>
      </w:r>
      <w:r w:rsidRPr="005316C8">
        <w:t xml:space="preserve">  Of</w:t>
      </w:r>
      <w:r w:rsidR="000B7B9C">
        <w:t xml:space="preserve"> </w:t>
      </w:r>
      <w:r w:rsidRPr="005316C8">
        <w:t xml:space="preserve">course, the </w:t>
      </w:r>
      <w:r w:rsidR="002E466A" w:rsidRPr="002E466A">
        <w:rPr>
          <w:i/>
          <w:iCs/>
        </w:rPr>
        <w:t>Bayán</w:t>
      </w:r>
      <w:r w:rsidRPr="005316C8">
        <w:t xml:space="preserve"> does not specifically abolish the Qur’anic law of </w:t>
      </w:r>
      <w:r w:rsidR="007031B1" w:rsidRPr="007031B1">
        <w:rPr>
          <w:i/>
          <w:iCs/>
        </w:rPr>
        <w:t>jihád</w:t>
      </w:r>
      <w:r w:rsidR="000B7B9C">
        <w:t xml:space="preserve"> </w:t>
      </w:r>
      <w:r w:rsidRPr="005316C8">
        <w:t xml:space="preserve">either. </w:t>
      </w:r>
      <w:r w:rsidR="002E466A">
        <w:t xml:space="preserve"> </w:t>
      </w:r>
      <w:r w:rsidRPr="005316C8">
        <w:t xml:space="preserve">It could therefore be legitimately presumed that the </w:t>
      </w:r>
      <w:r w:rsidR="007031B1" w:rsidRPr="007031B1">
        <w:rPr>
          <w:i/>
          <w:iCs/>
        </w:rPr>
        <w:t>jihád</w:t>
      </w:r>
      <w:r w:rsidRPr="005316C8">
        <w:t xml:space="preserve"> of the</w:t>
      </w:r>
      <w:r w:rsidR="000B7B9C">
        <w:t xml:space="preserve"> </w:t>
      </w:r>
      <w:r w:rsidRPr="005316C8">
        <w:t>Qur’án was still permissible to the Bábís (contingent, of course, on the Báb’s</w:t>
      </w:r>
      <w:r w:rsidR="000B7B9C">
        <w:t xml:space="preserve"> </w:t>
      </w:r>
      <w:r w:rsidRPr="005316C8">
        <w:t xml:space="preserve">explicit order). </w:t>
      </w:r>
      <w:r w:rsidR="002E466A">
        <w:t xml:space="preserve"> </w:t>
      </w:r>
      <w:r w:rsidRPr="005316C8">
        <w:t>On the other hand, let us recall that the whole focus of the</w:t>
      </w:r>
      <w:r w:rsidR="000B7B9C">
        <w:t xml:space="preserve"> </w:t>
      </w:r>
      <w:r w:rsidRPr="005316C8">
        <w:t xml:space="preserve">Persian </w:t>
      </w:r>
      <w:r w:rsidR="002E466A" w:rsidRPr="002E466A">
        <w:rPr>
          <w:i/>
          <w:iCs/>
        </w:rPr>
        <w:t>Bayán</w:t>
      </w:r>
      <w:r w:rsidRPr="005316C8">
        <w:t xml:space="preserve"> was the imminent advent of ‘Him Whom God shall make</w:t>
      </w:r>
      <w:r w:rsidR="000B7B9C">
        <w:t xml:space="preserve"> </w:t>
      </w:r>
      <w:r w:rsidRPr="005316C8">
        <w:t>manifest’, and that the Báb made all of his laws conditional on their</w:t>
      </w:r>
      <w:r w:rsidR="000B7B9C">
        <w:t xml:space="preserve"> </w:t>
      </w:r>
      <w:r w:rsidRPr="005316C8">
        <w:t xml:space="preserve">acceptance by the second Manifestation. </w:t>
      </w:r>
      <w:r w:rsidR="002E466A">
        <w:t xml:space="preserve"> </w:t>
      </w:r>
      <w:r w:rsidRPr="005316C8">
        <w:t>Since Bahá’u’lláh abrogated the</w:t>
      </w:r>
      <w:r w:rsidR="000B7B9C">
        <w:t xml:space="preserve"> </w:t>
      </w:r>
      <w:r w:rsidRPr="005316C8">
        <w:t xml:space="preserve">law of </w:t>
      </w:r>
      <w:r w:rsidR="007031B1" w:rsidRPr="007031B1">
        <w:rPr>
          <w:i/>
          <w:iCs/>
        </w:rPr>
        <w:t>jihád</w:t>
      </w:r>
      <w:r w:rsidRPr="005316C8">
        <w:t>, we can again see in the Báb’s handling of the question of holy</w:t>
      </w:r>
      <w:r w:rsidR="000B7B9C">
        <w:t xml:space="preserve"> </w:t>
      </w:r>
      <w:r w:rsidRPr="005316C8">
        <w:t xml:space="preserve">war in the </w:t>
      </w:r>
      <w:r w:rsidR="002E466A" w:rsidRPr="002E466A">
        <w:rPr>
          <w:i/>
          <w:iCs/>
        </w:rPr>
        <w:t>Bayán</w:t>
      </w:r>
      <w:r w:rsidRPr="005316C8">
        <w:t xml:space="preserve"> a step in the direction towards its abrogation.</w:t>
      </w:r>
    </w:p>
    <w:p w:rsidR="00357426" w:rsidRPr="005316C8" w:rsidRDefault="00357426" w:rsidP="002E466A">
      <w:pPr>
        <w:pStyle w:val="Text"/>
      </w:pPr>
      <w:r w:rsidRPr="005316C8">
        <w:t xml:space="preserve">In any case, the fact is that the Persian </w:t>
      </w:r>
      <w:r w:rsidR="002E466A" w:rsidRPr="002E466A">
        <w:rPr>
          <w:i/>
          <w:iCs/>
        </w:rPr>
        <w:t>Bayán</w:t>
      </w:r>
      <w:r w:rsidRPr="005316C8">
        <w:t xml:space="preserve"> institutes a number of very</w:t>
      </w:r>
      <w:r w:rsidR="000B7B9C">
        <w:t xml:space="preserve"> </w:t>
      </w:r>
      <w:r w:rsidRPr="005316C8">
        <w:t xml:space="preserve">severe laws, but the law of </w:t>
      </w:r>
      <w:r w:rsidR="007031B1" w:rsidRPr="007031B1">
        <w:rPr>
          <w:i/>
          <w:iCs/>
        </w:rPr>
        <w:t>jihád</w:t>
      </w:r>
      <w:r w:rsidRPr="005316C8">
        <w:t xml:space="preserve"> is not one of them. </w:t>
      </w:r>
      <w:r w:rsidR="002E466A">
        <w:t xml:space="preserve"> </w:t>
      </w:r>
      <w:r w:rsidRPr="005316C8">
        <w:t>The very most that the</w:t>
      </w:r>
      <w:r w:rsidR="000B7B9C">
        <w:t xml:space="preserve"> </w:t>
      </w:r>
      <w:r w:rsidRPr="005316C8">
        <w:t>Báb’s followers could have drawn from this was that the Báb tacitly</w:t>
      </w:r>
      <w:r w:rsidR="000B7B9C">
        <w:t xml:space="preserve"> </w:t>
      </w:r>
      <w:r w:rsidRPr="005316C8">
        <w:t>approved the Qur’anic law already accepted, but with the condition that</w:t>
      </w:r>
      <w:r w:rsidR="000B7B9C">
        <w:t xml:space="preserve"> </w:t>
      </w:r>
      <w:r w:rsidRPr="005316C8">
        <w:t>only the Báb could declare holy war.</w:t>
      </w:r>
      <w:r w:rsidR="002E466A">
        <w:rPr>
          <w:rStyle w:val="EndnoteReference"/>
        </w:rPr>
        <w:endnoteReference w:id="54"/>
      </w:r>
    </w:p>
    <w:p w:rsidR="00357426" w:rsidRPr="005316C8" w:rsidRDefault="002E466A" w:rsidP="002E466A">
      <w:pPr>
        <w:pStyle w:val="Myhead"/>
      </w:pPr>
      <w:r w:rsidRPr="002E466A">
        <w:rPr>
          <w:u w:val="single"/>
        </w:rPr>
        <w:t>Sh</w:t>
      </w:r>
      <w:r w:rsidRPr="005316C8">
        <w:t>ay</w:t>
      </w:r>
      <w:r w:rsidRPr="002E466A">
        <w:rPr>
          <w:u w:val="single"/>
        </w:rPr>
        <w:t>kh</w:t>
      </w:r>
      <w:r w:rsidRPr="005316C8">
        <w:t xml:space="preserve"> Ṭabarsí, Nayríz, Zanján</w:t>
      </w:r>
    </w:p>
    <w:p w:rsidR="00357426" w:rsidRPr="005316C8" w:rsidRDefault="00357426" w:rsidP="00426A8A">
      <w:pPr>
        <w:pStyle w:val="Text"/>
      </w:pPr>
      <w:r w:rsidRPr="005316C8">
        <w:t xml:space="preserve">After the composition of the </w:t>
      </w:r>
      <w:r w:rsidR="002E466A" w:rsidRPr="002E466A">
        <w:rPr>
          <w:i/>
          <w:iCs/>
        </w:rPr>
        <w:t>Qayyúmu’l-Asmá’</w:t>
      </w:r>
      <w:r w:rsidRPr="005316C8">
        <w:t>, the Báb proceeded, in the Fall</w:t>
      </w:r>
      <w:r w:rsidR="000B7B9C">
        <w:t xml:space="preserve"> </w:t>
      </w:r>
      <w:r w:rsidRPr="005316C8">
        <w:t>of 1844, to go on pilgrimage to Mecca.</w:t>
      </w:r>
      <w:r w:rsidR="002E466A">
        <w:t xml:space="preserve"> </w:t>
      </w:r>
      <w:r w:rsidRPr="005316C8">
        <w:t xml:space="preserve"> There he openly proclaimed his Cause</w:t>
      </w:r>
      <w:r w:rsidR="000B7B9C">
        <w:t xml:space="preserve"> </w:t>
      </w:r>
      <w:r w:rsidRPr="005316C8">
        <w:t xml:space="preserve">to the </w:t>
      </w:r>
      <w:r w:rsidRPr="002E466A">
        <w:rPr>
          <w:u w:val="single"/>
        </w:rPr>
        <w:t>Sh</w:t>
      </w:r>
      <w:r w:rsidRPr="005316C8">
        <w:t>aríf of Mecca and to the assembled pilgrims.</w:t>
      </w:r>
      <w:r w:rsidR="002E466A">
        <w:rPr>
          <w:rStyle w:val="EndnoteReference"/>
        </w:rPr>
        <w:endnoteReference w:id="55"/>
      </w:r>
      <w:r w:rsidRPr="005316C8">
        <w:t xml:space="preserve">  At the same time, the</w:t>
      </w:r>
      <w:r w:rsidR="000B7B9C">
        <w:t xml:space="preserve"> </w:t>
      </w:r>
      <w:r w:rsidRPr="005316C8">
        <w:t>teaching activities of his disciples in Persia served to spread knowledge of the</w:t>
      </w:r>
      <w:r w:rsidR="000B7B9C">
        <w:t xml:space="preserve"> </w:t>
      </w:r>
      <w:r w:rsidRPr="005316C8">
        <w:t xml:space="preserve">new Faith to the whole country. </w:t>
      </w:r>
      <w:r w:rsidR="002E466A">
        <w:t xml:space="preserve"> </w:t>
      </w:r>
      <w:r w:rsidRPr="005316C8">
        <w:t>Upon his return from pilgrimage in the</w:t>
      </w:r>
      <w:r w:rsidR="000B7B9C">
        <w:t xml:space="preserve"> </w:t>
      </w:r>
      <w:r w:rsidRPr="005316C8">
        <w:t>Spring of 1845, the Báb was immediately arrested by the Governor of the</w:t>
      </w:r>
      <w:r w:rsidR="000B7B9C">
        <w:t xml:space="preserve"> </w:t>
      </w:r>
      <w:r w:rsidRPr="005316C8">
        <w:t>Province of Fárs and maintained under house arrest in his native city of</w:t>
      </w:r>
      <w:r w:rsidR="000B7B9C">
        <w:t xml:space="preserve">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 xml:space="preserve">ráz. </w:t>
      </w:r>
      <w:r w:rsidR="002E466A">
        <w:t xml:space="preserve"> </w:t>
      </w:r>
      <w:r w:rsidRPr="005316C8">
        <w:t>After the Báb and his followers suffered many indignities and</w:t>
      </w:r>
      <w:r w:rsidR="000B7B9C">
        <w:t xml:space="preserve"> </w:t>
      </w:r>
      <w:r w:rsidRPr="005316C8">
        <w:t>persecutions at the hands of the Governor, the Báb moved to Iṣf</w:t>
      </w:r>
      <w:r w:rsidR="00426A8A">
        <w:t>a</w:t>
      </w:r>
      <w:r w:rsidRPr="005316C8">
        <w:t>hán in</w:t>
      </w:r>
      <w:r w:rsidR="000B7B9C">
        <w:t xml:space="preserve"> </w:t>
      </w:r>
      <w:r w:rsidRPr="005316C8">
        <w:t>September 1846.</w:t>
      </w:r>
    </w:p>
    <w:p w:rsidR="00357426" w:rsidRPr="005316C8" w:rsidRDefault="00357426" w:rsidP="002E466A">
      <w:pPr>
        <w:pStyle w:val="Text"/>
      </w:pPr>
      <w:r w:rsidRPr="005316C8">
        <w:t>In the Spring of 1847, the Grand Vazír Ḥájí Mírzá Áqásí, an implacable</w:t>
      </w:r>
      <w:r w:rsidR="000B7B9C">
        <w:t xml:space="preserve"> </w:t>
      </w:r>
      <w:r w:rsidRPr="005316C8">
        <w:t>enemy of the Báb, ordered his incarceration in the castle of Máh-Kú in the</w:t>
      </w:r>
      <w:r w:rsidR="000B7B9C">
        <w:t xml:space="preserve"> </w:t>
      </w:r>
      <w:r w:rsidRPr="005316C8">
        <w:t>North of Írán.</w:t>
      </w:r>
      <w:r w:rsidR="002E466A">
        <w:t xml:space="preserve"> </w:t>
      </w:r>
      <w:r w:rsidRPr="005316C8">
        <w:t xml:space="preserve"> In April 1848, the Báb was subsequently moved to yet</w:t>
      </w:r>
      <w:r w:rsidR="000B7B9C">
        <w:t xml:space="preserve"> </w:t>
      </w:r>
      <w:r w:rsidRPr="005316C8">
        <w:t xml:space="preserve">another prison, at </w:t>
      </w:r>
      <w:r w:rsidRPr="002E466A">
        <w:rPr>
          <w:u w:val="single"/>
        </w:rPr>
        <w:t>Ch</w:t>
      </w:r>
      <w:r w:rsidRPr="005316C8">
        <w:t>ihríq, in the same general area as Máh-Kú.</w:t>
      </w:r>
      <w:r w:rsidR="002E466A">
        <w:t xml:space="preserve"> </w:t>
      </w:r>
      <w:r w:rsidRPr="005316C8">
        <w:t xml:space="preserve"> In July of the</w:t>
      </w:r>
      <w:r w:rsidR="000B7B9C">
        <w:t xml:space="preserve"> </w:t>
      </w:r>
      <w:r w:rsidRPr="005316C8">
        <w:t>same year, he was brought to Tabríz for a religious trial before an assembly</w:t>
      </w:r>
      <w:r w:rsidR="000B7B9C">
        <w:t xml:space="preserve"> </w:t>
      </w:r>
      <w:r w:rsidRPr="005316C8">
        <w:t xml:space="preserve">of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 xml:space="preserve">‘ih ecclesiastics. </w:t>
      </w:r>
      <w:r w:rsidR="002E466A">
        <w:t xml:space="preserve"> </w:t>
      </w:r>
      <w:r w:rsidRPr="005316C8">
        <w:t>There he boldly and publicly proclaimed himself as the</w:t>
      </w:r>
      <w:r w:rsidR="000B7B9C">
        <w:t xml:space="preserve"> </w:t>
      </w:r>
      <w:r w:rsidRPr="005316C8">
        <w:t>awaited Qá’im in language which was unequivocally clear to all.</w:t>
      </w:r>
    </w:p>
    <w:p w:rsidR="00357426" w:rsidRPr="005316C8" w:rsidRDefault="00357426" w:rsidP="000B7B9C">
      <w:pPr>
        <w:pStyle w:val="Text"/>
      </w:pPr>
      <w:r w:rsidRPr="005316C8">
        <w:t>At this point, interest in the Báb and his Faith was at a fever pitch in Írán,</w:t>
      </w:r>
      <w:r w:rsidR="000B7B9C">
        <w:t xml:space="preserve"> </w:t>
      </w:r>
      <w:r w:rsidRPr="005316C8">
        <w:t>and the hostility of certain fanatical elements of the clergy and of the</w:t>
      </w:r>
      <w:r w:rsidR="000B7B9C">
        <w:t xml:space="preserve"> </w:t>
      </w:r>
      <w:r w:rsidRPr="005316C8">
        <w:t xml:space="preserve">government was thereby heightened as well. </w:t>
      </w:r>
      <w:r w:rsidR="002E466A">
        <w:t xml:space="preserve"> </w:t>
      </w:r>
      <w:r w:rsidRPr="005316C8">
        <w:t>Shoghi Effendi describes the</w:t>
      </w:r>
      <w:r w:rsidR="000B7B9C">
        <w:t xml:space="preserve"> </w:t>
      </w:r>
      <w:r w:rsidRPr="005316C8">
        <w:t>situation in Írán immediately following the Báb’s trial and public declaration in Tabríz:</w:t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Quote"/>
      </w:pPr>
      <w:r w:rsidRPr="005316C8">
        <w:lastRenderedPageBreak/>
        <w:t>The formal assumption by the Báb of the authority of the promised Qá’im, in</w:t>
      </w:r>
      <w:r w:rsidR="000B7B9C">
        <w:t xml:space="preserve"> </w:t>
      </w:r>
      <w:r w:rsidRPr="005316C8">
        <w:t>such dramatic circumstances and in so challenging a tone, before a distinguished</w:t>
      </w:r>
      <w:r w:rsidR="000B7B9C">
        <w:t xml:space="preserve"> </w:t>
      </w:r>
      <w:r w:rsidRPr="005316C8">
        <w:t xml:space="preserve">gathering of eminent </w:t>
      </w:r>
      <w:r w:rsidR="002E466A" w:rsidRPr="002E466A">
        <w:rPr>
          <w:u w:val="single"/>
        </w:rPr>
        <w:t>Sh</w:t>
      </w:r>
      <w:r w:rsidR="002E466A" w:rsidRPr="005316C8">
        <w:t>í</w:t>
      </w:r>
      <w:r w:rsidRPr="005316C8">
        <w:t>‘ah ecclesiastics, powerful, jealous, alarmed and hostile</w:t>
      </w:r>
      <w:r w:rsidR="002E466A">
        <w:t>,</w:t>
      </w:r>
      <w:r w:rsidR="000B7B9C">
        <w:t xml:space="preserve"> </w:t>
      </w:r>
      <w:r w:rsidRPr="005316C8">
        <w:t>was the explosive force that loosed a veritable avalanche of calamities which</w:t>
      </w:r>
      <w:r w:rsidR="000B7B9C">
        <w:t xml:space="preserve"> </w:t>
      </w:r>
      <w:r w:rsidRPr="005316C8">
        <w:t xml:space="preserve">swept down upon the Faith and the people among whom it was born. </w:t>
      </w:r>
      <w:r w:rsidR="002E466A">
        <w:t xml:space="preserve"> </w:t>
      </w:r>
      <w:r w:rsidRPr="005316C8">
        <w:t>It raised to</w:t>
      </w:r>
      <w:r w:rsidR="000B7B9C">
        <w:t xml:space="preserve"> </w:t>
      </w:r>
      <w:r w:rsidRPr="005316C8">
        <w:t>fervid heat the zeal that glowed in the souls of the Báb’s scattered disciples, who</w:t>
      </w:r>
      <w:r w:rsidR="000B7B9C">
        <w:t xml:space="preserve"> </w:t>
      </w:r>
      <w:r w:rsidRPr="005316C8">
        <w:t>were already incensed by the cruel captivity of their Leader, and whose ardor</w:t>
      </w:r>
      <w:r w:rsidR="000B7B9C">
        <w:t xml:space="preserve"> </w:t>
      </w:r>
      <w:r w:rsidRPr="005316C8">
        <w:t>was now further inflamed by the outpourings of His pen which reached them</w:t>
      </w:r>
      <w:r w:rsidR="000B7B9C">
        <w:t xml:space="preserve"> </w:t>
      </w:r>
      <w:r w:rsidRPr="005316C8">
        <w:t>unceasingly from the place of His confinement.</w:t>
      </w:r>
      <w:r w:rsidR="002E466A">
        <w:t xml:space="preserve"> </w:t>
      </w:r>
      <w:r w:rsidRPr="005316C8">
        <w:t xml:space="preserve"> It provoked a heated and</w:t>
      </w:r>
      <w:r w:rsidR="000B7B9C">
        <w:t xml:space="preserve"> </w:t>
      </w:r>
      <w:r w:rsidRPr="005316C8">
        <w:t>prolonged controversy throughout the length and breadth of the land</w:t>
      </w:r>
      <w:r w:rsidR="002E466A">
        <w:t>,</w:t>
      </w:r>
      <w:r w:rsidRPr="005316C8">
        <w:t xml:space="preserve"> in</w:t>
      </w:r>
      <w:r w:rsidR="000B7B9C">
        <w:t xml:space="preserve"> </w:t>
      </w:r>
      <w:r w:rsidRPr="005316C8">
        <w:t>bazaars, masjids, madrisihs and other public places, deepening thereby the</w:t>
      </w:r>
      <w:r w:rsidR="000B7B9C">
        <w:t xml:space="preserve"> </w:t>
      </w:r>
      <w:r w:rsidRPr="005316C8">
        <w:t>cleavage that had already sundered its people.</w:t>
      </w:r>
      <w:r w:rsidR="002E466A">
        <w:rPr>
          <w:rStyle w:val="EndnoteReference"/>
        </w:rPr>
        <w:endnoteReference w:id="56"/>
      </w:r>
    </w:p>
    <w:p w:rsidR="00357426" w:rsidRPr="005316C8" w:rsidRDefault="00357426" w:rsidP="00357426">
      <w:pPr>
        <w:pStyle w:val="Text"/>
      </w:pPr>
      <w:r w:rsidRPr="005316C8">
        <w:t xml:space="preserve">Only two months later, Muḥammad </w:t>
      </w:r>
      <w:r w:rsidRPr="002E466A">
        <w:rPr>
          <w:u w:val="single"/>
        </w:rPr>
        <w:t>Sh</w:t>
      </w:r>
      <w:r w:rsidRPr="005316C8">
        <w:t>áh died, and seventeen-year-old</w:t>
      </w:r>
      <w:r w:rsidR="000B7B9C">
        <w:t xml:space="preserve"> </w:t>
      </w:r>
      <w:r w:rsidRPr="005316C8">
        <w:t>Náṣiri’d-Dín Mírzá, who had been present at the Báb’s trial in Tabríz,</w:t>
      </w:r>
      <w:r w:rsidR="000B7B9C">
        <w:t xml:space="preserve"> </w:t>
      </w:r>
      <w:r w:rsidRPr="005316C8">
        <w:t xml:space="preserve">became </w:t>
      </w:r>
      <w:r w:rsidR="002E466A" w:rsidRPr="002E466A">
        <w:rPr>
          <w:u w:val="single"/>
        </w:rPr>
        <w:t>Sh</w:t>
      </w:r>
      <w:r w:rsidR="002E466A" w:rsidRPr="005316C8">
        <w:t>áh</w:t>
      </w:r>
      <w:r w:rsidRPr="005316C8">
        <w:t xml:space="preserve"> of Persia. </w:t>
      </w:r>
      <w:r w:rsidR="00426A8A">
        <w:t xml:space="preserve"> </w:t>
      </w:r>
      <w:r w:rsidRPr="005316C8">
        <w:t xml:space="preserve">The new </w:t>
      </w:r>
      <w:r w:rsidR="002E466A" w:rsidRPr="002E466A">
        <w:rPr>
          <w:u w:val="single"/>
        </w:rPr>
        <w:t>Sh</w:t>
      </w:r>
      <w:r w:rsidR="002E466A" w:rsidRPr="005316C8">
        <w:t>áh</w:t>
      </w:r>
      <w:r w:rsidRPr="005316C8">
        <w:t>’s chief minister, Mírzá Taqí-</w:t>
      </w:r>
      <w:r w:rsidR="002E466A" w:rsidRPr="002E466A">
        <w:rPr>
          <w:u w:val="single"/>
        </w:rPr>
        <w:t>Kh</w:t>
      </w:r>
      <w:r w:rsidR="002E466A" w:rsidRPr="005316C8">
        <w:t>án</w:t>
      </w:r>
      <w:r w:rsidRPr="005316C8">
        <w:t>,</w:t>
      </w:r>
      <w:r w:rsidR="000B7B9C">
        <w:t xml:space="preserve"> </w:t>
      </w:r>
      <w:r w:rsidRPr="005316C8">
        <w:t>immediately instigated a systematic campaign against the Babís:</w:t>
      </w:r>
    </w:p>
    <w:p w:rsidR="00357426" w:rsidRPr="005316C8" w:rsidRDefault="00357426" w:rsidP="002E466A">
      <w:pPr>
        <w:pStyle w:val="Quote"/>
      </w:pPr>
      <w:r w:rsidRPr="005316C8">
        <w:t xml:space="preserve">Mírzá Taqí </w:t>
      </w:r>
      <w:r w:rsidR="002E466A" w:rsidRPr="002E466A">
        <w:rPr>
          <w:u w:val="single"/>
        </w:rPr>
        <w:t>Kh</w:t>
      </w:r>
      <w:r w:rsidR="002E466A" w:rsidRPr="005316C8">
        <w:t>án</w:t>
      </w:r>
      <w:r w:rsidRPr="005316C8">
        <w:t xml:space="preserve"> </w:t>
      </w:r>
      <w:r w:rsidR="002E466A">
        <w:t>…</w:t>
      </w:r>
      <w:r w:rsidRPr="005316C8">
        <w:t xml:space="preserve"> decreed that immediate and condign punishment be</w:t>
      </w:r>
      <w:r w:rsidR="000B7B9C">
        <w:t xml:space="preserve"> </w:t>
      </w:r>
      <w:r w:rsidRPr="005316C8">
        <w:t>inflicted on the hapless Bábís.</w:t>
      </w:r>
      <w:r w:rsidR="002E466A">
        <w:t xml:space="preserve"> </w:t>
      </w:r>
      <w:r w:rsidRPr="005316C8">
        <w:t xml:space="preserve"> Governors, magistrates and civil servants,</w:t>
      </w:r>
      <w:r w:rsidR="000B7B9C">
        <w:t xml:space="preserve"> </w:t>
      </w:r>
      <w:r w:rsidRPr="005316C8">
        <w:t>throughout the provinces, instigated by the monstrous campaign of vilification</w:t>
      </w:r>
      <w:r w:rsidR="000B7B9C">
        <w:t xml:space="preserve"> </w:t>
      </w:r>
      <w:r w:rsidRPr="005316C8">
        <w:t>conducted by the clergy, and prompted by their lust for pecuniary rewards, vied</w:t>
      </w:r>
      <w:r w:rsidR="000B7B9C">
        <w:t xml:space="preserve"> </w:t>
      </w:r>
      <w:r w:rsidRPr="005316C8">
        <w:t>in their respective spheres with each other in hounding and heaping indignities</w:t>
      </w:r>
      <w:r w:rsidR="000B7B9C">
        <w:t xml:space="preserve"> </w:t>
      </w:r>
      <w:r w:rsidRPr="005316C8">
        <w:t>on the adherents of the outlawed Faith.</w:t>
      </w:r>
      <w:r w:rsidR="002E466A">
        <w:t xml:space="preserve"> </w:t>
      </w:r>
      <w:r w:rsidRPr="005316C8">
        <w:t xml:space="preserve"> For the first time in the Faith’s history a</w:t>
      </w:r>
      <w:r w:rsidR="000B7B9C">
        <w:t xml:space="preserve"> </w:t>
      </w:r>
      <w:r w:rsidRPr="005316C8">
        <w:t>systematic campaign in which the civil and ecclesiastical powers were banded</w:t>
      </w:r>
      <w:r w:rsidR="000B7B9C">
        <w:t xml:space="preserve"> </w:t>
      </w:r>
      <w:r w:rsidRPr="005316C8">
        <w:t xml:space="preserve">together was being launched against it </w:t>
      </w:r>
      <w:r w:rsidR="002E466A">
        <w:t>…</w:t>
      </w:r>
      <w:r w:rsidRPr="005316C8">
        <w:t>.</w:t>
      </w:r>
      <w:r w:rsidR="002E466A">
        <w:rPr>
          <w:rStyle w:val="EndnoteReference"/>
        </w:rPr>
        <w:endnoteReference w:id="57"/>
      </w:r>
    </w:p>
    <w:p w:rsidR="00357426" w:rsidRPr="005316C8" w:rsidRDefault="00357426" w:rsidP="002E466A">
      <w:pPr>
        <w:pStyle w:val="Text"/>
      </w:pPr>
      <w:r w:rsidRPr="005316C8">
        <w:t>This campaign of terror and repression culminated in the Báb’s execution</w:t>
      </w:r>
      <w:r w:rsidR="000B7B9C">
        <w:t xml:space="preserve"> </w:t>
      </w:r>
      <w:r w:rsidRPr="005316C8">
        <w:t>by government decree two years later in Tabríz on 9 July 1850.</w:t>
      </w:r>
    </w:p>
    <w:p w:rsidR="00357426" w:rsidRPr="005316C8" w:rsidRDefault="00357426" w:rsidP="00357426">
      <w:pPr>
        <w:pStyle w:val="Text"/>
      </w:pPr>
      <w:r w:rsidRPr="005316C8">
        <w:t>It was in such an atmosphere of terror and repression that there occurred,</w:t>
      </w:r>
      <w:r w:rsidR="000B7B9C">
        <w:t xml:space="preserve"> </w:t>
      </w:r>
      <w:r w:rsidRPr="005316C8">
        <w:t>on three separate occasions, major confrontations between Babís and</w:t>
      </w:r>
      <w:r w:rsidR="000B7B9C">
        <w:t xml:space="preserve"> </w:t>
      </w:r>
      <w:r w:rsidRPr="005316C8">
        <w:t xml:space="preserve">Muslims. </w:t>
      </w:r>
      <w:r w:rsidR="002E466A">
        <w:t xml:space="preserve"> </w:t>
      </w:r>
      <w:r w:rsidRPr="005316C8">
        <w:t>Let us sketch briefly the basic facts of each of these events.</w:t>
      </w:r>
    </w:p>
    <w:p w:rsidR="00357426" w:rsidRPr="005316C8" w:rsidRDefault="00357426" w:rsidP="00426A8A">
      <w:pPr>
        <w:pStyle w:val="Text"/>
      </w:pPr>
      <w:r w:rsidRPr="005316C8">
        <w:t>In mid</w:t>
      </w:r>
      <w:r w:rsidR="00426A8A">
        <w:t>-</w:t>
      </w:r>
      <w:r w:rsidRPr="005316C8">
        <w:t>July 1848, a group of Bábís encamped on the outskirts of the</w:t>
      </w:r>
      <w:r w:rsidR="000B7B9C">
        <w:t xml:space="preserve"> </w:t>
      </w:r>
      <w:r w:rsidRPr="005316C8">
        <w:t xml:space="preserve">village of Níyálá was suddenly attacked by some of the townspeople. </w:t>
      </w:r>
      <w:r w:rsidR="002E466A">
        <w:t xml:space="preserve"> </w:t>
      </w:r>
      <w:r w:rsidRPr="005316C8">
        <w:t>The</w:t>
      </w:r>
      <w:r w:rsidR="000B7B9C">
        <w:t xml:space="preserve"> </w:t>
      </w:r>
      <w:r w:rsidRPr="005316C8">
        <w:t>Bábís dispersed in different directions.</w:t>
      </w:r>
      <w:r w:rsidR="002E466A">
        <w:t xml:space="preserve"> </w:t>
      </w:r>
      <w:r w:rsidRPr="005316C8">
        <w:t xml:space="preserve"> Quddús, one of the Letters of the</w:t>
      </w:r>
      <w:r w:rsidR="000B7B9C">
        <w:t xml:space="preserve"> </w:t>
      </w:r>
      <w:r w:rsidRPr="005316C8">
        <w:t>Living, was forcibly detained and held under house arrest in the home of</w:t>
      </w:r>
      <w:r w:rsidR="000B7B9C">
        <w:t xml:space="preserve"> </w:t>
      </w:r>
      <w:r w:rsidRPr="005316C8">
        <w:t>Mírzá Muḥammad-Taqí, the lead</w:t>
      </w:r>
      <w:r w:rsidR="00426A8A">
        <w:t>i</w:t>
      </w:r>
      <w:r w:rsidRPr="005316C8">
        <w:t>ng ecclesiastic of the town of Sárí in the</w:t>
      </w:r>
      <w:r w:rsidR="000B7B9C">
        <w:t xml:space="preserve"> </w:t>
      </w:r>
      <w:r w:rsidRPr="005316C8">
        <w:t>province of Mázindarán.</w:t>
      </w:r>
      <w:r w:rsidR="002E466A">
        <w:t xml:space="preserve"> </w:t>
      </w:r>
      <w:r w:rsidRPr="005316C8">
        <w:t xml:space="preserve"> Ṭáhirih, the courageous female Letter of the</w:t>
      </w:r>
      <w:r w:rsidR="000B7B9C">
        <w:t xml:space="preserve"> </w:t>
      </w:r>
      <w:r w:rsidRPr="005316C8">
        <w:t>Living, was also arrested and held in Ṭihrán under the authority of the</w:t>
      </w:r>
      <w:r w:rsidR="000B7B9C">
        <w:t xml:space="preserve"> </w:t>
      </w:r>
      <w:r w:rsidRPr="005316C8">
        <w:t xml:space="preserve">Mayor, Maḥmúd </w:t>
      </w:r>
      <w:r w:rsidR="002E466A" w:rsidRPr="002E466A">
        <w:rPr>
          <w:u w:val="single"/>
        </w:rPr>
        <w:t>Kh</w:t>
      </w:r>
      <w:r w:rsidR="002E466A" w:rsidRPr="005316C8">
        <w:t>án</w:t>
      </w:r>
      <w:r w:rsidRPr="005316C8">
        <w:t xml:space="preserve">. </w:t>
      </w:r>
      <w:r w:rsidR="00426A8A">
        <w:t xml:space="preserve"> </w:t>
      </w:r>
      <w:r w:rsidRPr="005316C8">
        <w:t>Many of the scattered Bábís regrouped near</w:t>
      </w:r>
      <w:r w:rsidR="000B7B9C">
        <w:t xml:space="preserve"> </w:t>
      </w:r>
      <w:r w:rsidR="002E466A" w:rsidRPr="005316C8">
        <w:t>Ma</w:t>
      </w:r>
      <w:r w:rsidR="002E466A" w:rsidRPr="002E466A">
        <w:rPr>
          <w:u w:val="single"/>
        </w:rPr>
        <w:t>sh</w:t>
      </w:r>
      <w:r w:rsidR="002E466A" w:rsidRPr="005316C8">
        <w:t>had</w:t>
      </w:r>
      <w:r w:rsidRPr="005316C8">
        <w:t xml:space="preserve"> under the leadership of Mullá Ḥusayn, the first Letter of the</w:t>
      </w:r>
      <w:r w:rsidR="000B7B9C">
        <w:t xml:space="preserve"> </w:t>
      </w:r>
      <w:r w:rsidRPr="005316C8">
        <w:t>Living, who had received instructions from the Báb to come to the aid of</w:t>
      </w:r>
      <w:r w:rsidR="000B7B9C">
        <w:t xml:space="preserve"> </w:t>
      </w:r>
      <w:r w:rsidRPr="005316C8">
        <w:t>Quddús.</w:t>
      </w:r>
    </w:p>
    <w:p w:rsidR="00357426" w:rsidRPr="005316C8" w:rsidRDefault="00357426" w:rsidP="00357426">
      <w:pPr>
        <w:pStyle w:val="Text"/>
      </w:pPr>
      <w:r w:rsidRPr="005316C8">
        <w:t>In their march towards Sárí, the group of Bábís, which numbered several</w:t>
      </w:r>
      <w:r w:rsidR="000B7B9C">
        <w:t xml:space="preserve"> </w:t>
      </w:r>
      <w:r w:rsidRPr="005316C8">
        <w:t xml:space="preserve">hundred, camped near the town of </w:t>
      </w:r>
      <w:r w:rsidR="002E466A" w:rsidRPr="005316C8">
        <w:t>Bárfurú</w:t>
      </w:r>
      <w:r w:rsidR="002E466A" w:rsidRPr="002E466A">
        <w:rPr>
          <w:u w:val="single"/>
        </w:rPr>
        <w:t>sh</w:t>
      </w:r>
      <w:r w:rsidRPr="005316C8">
        <w:t xml:space="preserve">. </w:t>
      </w:r>
      <w:r w:rsidR="002E466A">
        <w:t xml:space="preserve"> </w:t>
      </w:r>
      <w:r w:rsidRPr="005316C8">
        <w:t>Sa‘ídu’l-‘Ulamá, the leading</w:t>
      </w:r>
      <w:r w:rsidR="000B7B9C">
        <w:t xml:space="preserve"> </w:t>
      </w:r>
      <w:r w:rsidRPr="005316C8">
        <w:t xml:space="preserve">divine of </w:t>
      </w:r>
      <w:r w:rsidR="002E466A" w:rsidRPr="005316C8">
        <w:t>Bárfurú</w:t>
      </w:r>
      <w:r w:rsidR="002E466A" w:rsidRPr="002E466A">
        <w:rPr>
          <w:u w:val="single"/>
        </w:rPr>
        <w:t>sh</w:t>
      </w:r>
      <w:r w:rsidRPr="005316C8">
        <w:t>, preached vehemently against the Bábís and incited the</w:t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Textcts"/>
      </w:pPr>
      <w:r w:rsidRPr="005316C8">
        <w:lastRenderedPageBreak/>
        <w:t>townspeople to attack them with an array of weapons including guns and</w:t>
      </w:r>
      <w:r w:rsidR="000B7B9C">
        <w:t xml:space="preserve"> </w:t>
      </w:r>
      <w:r w:rsidRPr="005316C8">
        <w:t xml:space="preserve">ammunition. </w:t>
      </w:r>
      <w:r w:rsidR="002E466A">
        <w:t xml:space="preserve"> </w:t>
      </w:r>
      <w:r w:rsidRPr="005316C8">
        <w:t>The Bábís, armed primarily with swords alone, defended</w:t>
      </w:r>
      <w:r w:rsidR="000B7B9C">
        <w:t xml:space="preserve"> </w:t>
      </w:r>
      <w:r w:rsidRPr="005316C8">
        <w:t>themselves and succeeded in dispersing the attack.</w:t>
      </w:r>
      <w:r w:rsidR="002E466A">
        <w:rPr>
          <w:rStyle w:val="EndnoteReference"/>
        </w:rPr>
        <w:endnoteReference w:id="58"/>
      </w:r>
      <w:r w:rsidRPr="005316C8">
        <w:t xml:space="preserve">  As a result, the</w:t>
      </w:r>
      <w:r w:rsidR="000B7B9C">
        <w:t xml:space="preserve"> </w:t>
      </w:r>
      <w:r w:rsidRPr="005316C8">
        <w:t>townspeople asked for a truce, but begged Mullá Ḥusayn to leave the area to</w:t>
      </w:r>
      <w:r w:rsidR="000B7B9C">
        <w:t xml:space="preserve"> </w:t>
      </w:r>
      <w:r w:rsidRPr="005316C8">
        <w:t xml:space="preserve">avoid further unrest. </w:t>
      </w:r>
      <w:r w:rsidR="002E466A">
        <w:t xml:space="preserve"> </w:t>
      </w:r>
      <w:r w:rsidRPr="005316C8">
        <w:t>One of the leaders offered an escort of horsemen to</w:t>
      </w:r>
      <w:r w:rsidR="000B7B9C">
        <w:t xml:space="preserve"> </w:t>
      </w:r>
      <w:r w:rsidRPr="005316C8">
        <w:t>guide Mullá Ḥusayn and the Bábís through the forest of Mázindarán, giving</w:t>
      </w:r>
      <w:r w:rsidR="000B7B9C">
        <w:t xml:space="preserve"> </w:t>
      </w:r>
      <w:r w:rsidRPr="005316C8">
        <w:t>a solemn oath on the Qur’án that they would riot be molested.</w:t>
      </w:r>
    </w:p>
    <w:p w:rsidR="00357426" w:rsidRPr="005316C8" w:rsidRDefault="00357426" w:rsidP="00357426">
      <w:pPr>
        <w:pStyle w:val="Text"/>
      </w:pPr>
      <w:r w:rsidRPr="005316C8">
        <w:t>However, Sa‘ídu’l-‘Ulamá succeeded in corrupting the leader of the escort,</w:t>
      </w:r>
      <w:r w:rsidR="000B7B9C">
        <w:t xml:space="preserve"> </w:t>
      </w:r>
      <w:r w:rsidRPr="002E466A">
        <w:rPr>
          <w:u w:val="single"/>
        </w:rPr>
        <w:t>Kh</w:t>
      </w:r>
      <w:r w:rsidRPr="005316C8">
        <w:t>usraw-i-Qádí-Kalá’í, by assuring him that he, Sa‘ídu’l-‘Ulamá, would</w:t>
      </w:r>
      <w:r w:rsidR="000B7B9C">
        <w:t xml:space="preserve"> </w:t>
      </w:r>
      <w:r w:rsidRPr="005316C8">
        <w:t xml:space="preserve">assume before God the moral responsibility for </w:t>
      </w:r>
      <w:r w:rsidRPr="002E466A">
        <w:rPr>
          <w:u w:val="single"/>
        </w:rPr>
        <w:t>Kh</w:t>
      </w:r>
      <w:r w:rsidRPr="005316C8">
        <w:t>usraw’s actions if the</w:t>
      </w:r>
      <w:r w:rsidR="000B7B9C">
        <w:t xml:space="preserve"> </w:t>
      </w:r>
      <w:r w:rsidRPr="005316C8">
        <w:t xml:space="preserve">Bábís were all slain in the forest. </w:t>
      </w:r>
      <w:r w:rsidR="002E466A">
        <w:t xml:space="preserve"> </w:t>
      </w:r>
      <w:r w:rsidRPr="005316C8">
        <w:t>The treacherous attack did take place, but</w:t>
      </w:r>
      <w:r w:rsidR="000B7B9C">
        <w:t xml:space="preserve"> </w:t>
      </w:r>
      <w:r w:rsidRPr="005316C8">
        <w:t>again the Bábís were able to repulse the adversary, though not without loss of</w:t>
      </w:r>
      <w:r w:rsidR="000B7B9C">
        <w:t xml:space="preserve"> </w:t>
      </w:r>
      <w:r w:rsidRPr="005316C8">
        <w:t>life on both sides.</w:t>
      </w:r>
    </w:p>
    <w:p w:rsidR="00357426" w:rsidRPr="005316C8" w:rsidRDefault="00357426" w:rsidP="000B7B9C">
      <w:pPr>
        <w:pStyle w:val="Text"/>
      </w:pPr>
      <w:r w:rsidRPr="005316C8">
        <w:t>Following the incident, and some subsequent attacks on the Bábí camp by</w:t>
      </w:r>
      <w:r w:rsidR="000B7B9C">
        <w:t xml:space="preserve"> </w:t>
      </w:r>
      <w:r w:rsidRPr="005316C8">
        <w:t xml:space="preserve">other villagers, Mullá Ḥusayn led his group to the Shrine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</w:t>
      </w:r>
      <w:r w:rsidR="000B7B9C">
        <w:t xml:space="preserve"> </w:t>
      </w:r>
      <w:r w:rsidRPr="005316C8">
        <w:t>in the forest of Mázindarán.</w:t>
      </w:r>
      <w:r w:rsidR="002E466A">
        <w:t xml:space="preserve"> </w:t>
      </w:r>
      <w:r w:rsidRPr="005316C8">
        <w:t xml:space="preserve"> There they built fortifications and stored food.</w:t>
      </w:r>
      <w:r w:rsidR="000B7B9C">
        <w:t xml:space="preserve">  </w:t>
      </w:r>
      <w:r w:rsidRPr="005316C8">
        <w:t>Though this was a purely defensive position far from any village or urban</w:t>
      </w:r>
      <w:r w:rsidR="000B7B9C">
        <w:t xml:space="preserve"> </w:t>
      </w:r>
      <w:r w:rsidRPr="005316C8">
        <w:t>centre, nevertheless, the government and clergy sent wave after wave of</w:t>
      </w:r>
      <w:r w:rsidR="000B7B9C">
        <w:t xml:space="preserve"> </w:t>
      </w:r>
      <w:r w:rsidRPr="005316C8">
        <w:t>heavily armed troops to reduce the Bábís, who fought with swords and a few</w:t>
      </w:r>
      <w:r w:rsidR="000B7B9C">
        <w:t xml:space="preserve"> </w:t>
      </w:r>
      <w:r w:rsidRPr="005316C8">
        <w:t xml:space="preserve">muskets against heavy artillery. </w:t>
      </w:r>
      <w:r w:rsidR="002E466A">
        <w:t xml:space="preserve"> </w:t>
      </w:r>
      <w:r w:rsidRPr="005316C8">
        <w:t xml:space="preserve">The siege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 lasted seven</w:t>
      </w:r>
      <w:r w:rsidR="000B7B9C">
        <w:t xml:space="preserve"> </w:t>
      </w:r>
      <w:r w:rsidRPr="005316C8">
        <w:t>months, from October 1848, to May 1849.</w:t>
      </w:r>
      <w:r w:rsidR="002E466A">
        <w:t xml:space="preserve"> </w:t>
      </w:r>
      <w:r w:rsidRPr="005316C8">
        <w:t xml:space="preserve"> It was ended only by trickery in</w:t>
      </w:r>
      <w:r w:rsidR="000B7B9C">
        <w:t xml:space="preserve"> </w:t>
      </w:r>
      <w:r w:rsidRPr="005316C8">
        <w:t>which the leader of the government forces swore a signed oath on the Qur’án</w:t>
      </w:r>
      <w:r w:rsidR="000B7B9C">
        <w:t xml:space="preserve"> </w:t>
      </w:r>
      <w:r w:rsidRPr="005316C8">
        <w:t xml:space="preserve">that the Bábís would not be molested if they ceased resistance. </w:t>
      </w:r>
      <w:r w:rsidR="002E466A">
        <w:t xml:space="preserve"> </w:t>
      </w:r>
      <w:r w:rsidRPr="005316C8">
        <w:t>Though</w:t>
      </w:r>
      <w:r w:rsidR="000B7B9C">
        <w:t xml:space="preserve"> </w:t>
      </w:r>
      <w:r w:rsidRPr="005316C8">
        <w:t>suspecting the insincerity of the pledge, the Bábís complied to show their</w:t>
      </w:r>
      <w:r w:rsidR="000B7B9C">
        <w:t xml:space="preserve"> </w:t>
      </w:r>
      <w:r w:rsidRPr="005316C8">
        <w:t xml:space="preserve">good faith and their lack of any motive other than pure self-defence. </w:t>
      </w:r>
      <w:r w:rsidR="002E466A">
        <w:t xml:space="preserve"> </w:t>
      </w:r>
      <w:r w:rsidRPr="005316C8">
        <w:t>Upon</w:t>
      </w:r>
      <w:r w:rsidR="000B7B9C">
        <w:t xml:space="preserve"> </w:t>
      </w:r>
      <w:r w:rsidRPr="005316C8">
        <w:t>acceding to this request, they were nevertheless immediately set upon by the</w:t>
      </w:r>
      <w:r w:rsidR="000B7B9C">
        <w:t xml:space="preserve"> </w:t>
      </w:r>
      <w:r w:rsidRPr="005316C8">
        <w:t xml:space="preserve">soldiers who had been unable to defeat them. </w:t>
      </w:r>
      <w:r w:rsidR="002E466A">
        <w:t xml:space="preserve"> </w:t>
      </w:r>
      <w:r w:rsidRPr="005316C8">
        <w:t>Most were brutally killed, but a</w:t>
      </w:r>
      <w:r w:rsidR="000B7B9C">
        <w:t xml:space="preserve"> </w:t>
      </w:r>
      <w:r w:rsidRPr="005316C8">
        <w:t>few escaped and survived to tell the details of what had transpired.</w:t>
      </w:r>
      <w:r w:rsidR="002E466A">
        <w:rPr>
          <w:rStyle w:val="EndnoteReference"/>
        </w:rPr>
        <w:endnoteReference w:id="59"/>
      </w:r>
      <w:r w:rsidRPr="005316C8">
        <w:t xml:space="preserve">  Such, in</w:t>
      </w:r>
      <w:r w:rsidR="000B7B9C">
        <w:t xml:space="preserve"> </w:t>
      </w:r>
      <w:r w:rsidRPr="005316C8">
        <w:t>its briefest outline, are the well</w:t>
      </w:r>
      <w:r w:rsidR="00426A8A">
        <w:t>-</w:t>
      </w:r>
      <w:r w:rsidRPr="005316C8">
        <w:t xml:space="preserve">established facts of the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</w:t>
      </w:r>
      <w:r w:rsidR="000B7B9C">
        <w:t xml:space="preserve"> </w:t>
      </w:r>
      <w:r w:rsidRPr="005316C8">
        <w:t>upheaval.</w:t>
      </w:r>
    </w:p>
    <w:p w:rsidR="00357426" w:rsidRPr="005316C8" w:rsidRDefault="00357426" w:rsidP="002E466A">
      <w:pPr>
        <w:pStyle w:val="Text"/>
      </w:pPr>
      <w:r w:rsidRPr="005316C8">
        <w:t>The incident at Nayríz took place during the months of May and June</w:t>
      </w:r>
      <w:r w:rsidR="000B7B9C">
        <w:t xml:space="preserve"> </w:t>
      </w:r>
      <w:r w:rsidRPr="005316C8">
        <w:t xml:space="preserve">1850. </w:t>
      </w:r>
      <w:r w:rsidR="002E466A">
        <w:t xml:space="preserve"> </w:t>
      </w:r>
      <w:r w:rsidRPr="005316C8">
        <w:t xml:space="preserve">The key figure is Vaḥíd, who had been sent by Muḥammad </w:t>
      </w:r>
      <w:r w:rsidR="002E466A" w:rsidRPr="002E466A">
        <w:rPr>
          <w:u w:val="single"/>
        </w:rPr>
        <w:t>Sh</w:t>
      </w:r>
      <w:r w:rsidR="002E466A" w:rsidRPr="005316C8">
        <w:t>áh</w:t>
      </w:r>
      <w:r w:rsidRPr="005316C8">
        <w:t xml:space="preserve"> in</w:t>
      </w:r>
      <w:r w:rsidR="000B7B9C">
        <w:t xml:space="preserve"> </w:t>
      </w:r>
      <w:r w:rsidRPr="005316C8">
        <w:t xml:space="preserve">1845 to ascertain the validity of the Báb’s claims on behalf of the </w:t>
      </w:r>
      <w:r w:rsidR="002E466A" w:rsidRPr="002E466A">
        <w:rPr>
          <w:u w:val="single"/>
        </w:rPr>
        <w:t>Sh</w:t>
      </w:r>
      <w:r w:rsidR="002E466A" w:rsidRPr="005316C8">
        <w:t>áh</w:t>
      </w:r>
      <w:r w:rsidRPr="005316C8">
        <w:t xml:space="preserve">. </w:t>
      </w:r>
      <w:r w:rsidR="002E466A">
        <w:t xml:space="preserve"> </w:t>
      </w:r>
      <w:r w:rsidRPr="005316C8">
        <w:t>The</w:t>
      </w:r>
      <w:r w:rsidR="000B7B9C">
        <w:t xml:space="preserve"> </w:t>
      </w:r>
      <w:r w:rsidRPr="005316C8">
        <w:t>result of Vaḥíd’s encounter with the Báb was that Vaḥíd became himself a</w:t>
      </w:r>
      <w:r w:rsidR="000B7B9C">
        <w:t xml:space="preserve"> </w:t>
      </w:r>
      <w:r w:rsidRPr="005316C8">
        <w:t>Bábí.</w:t>
      </w:r>
      <w:r w:rsidR="002E466A">
        <w:t xml:space="preserve"> </w:t>
      </w:r>
      <w:r w:rsidRPr="005316C8">
        <w:t xml:space="preserve"> In May 1850, Vaḥíd returned to the town of Nayríz in his native</w:t>
      </w:r>
      <w:r w:rsidR="000B7B9C">
        <w:t xml:space="preserve"> </w:t>
      </w:r>
      <w:r w:rsidRPr="005316C8">
        <w:t>province of Fárs where he was enthusiastically greeted by his friends and</w:t>
      </w:r>
      <w:r w:rsidR="000B7B9C">
        <w:t xml:space="preserve"> </w:t>
      </w:r>
      <w:r w:rsidRPr="005316C8">
        <w:t xml:space="preserve">relatives. </w:t>
      </w:r>
      <w:r w:rsidR="002E466A">
        <w:t xml:space="preserve"> </w:t>
      </w:r>
      <w:r w:rsidRPr="005316C8">
        <w:t>The Governor of Nayríz immediately set out to arrest Vaḥíd, hiring</w:t>
      </w:r>
      <w:r w:rsidR="000B7B9C">
        <w:t xml:space="preserve"> </w:t>
      </w:r>
      <w:r w:rsidRPr="005316C8">
        <w:t>a thousand trained soldiers who were to accomplish this task.</w:t>
      </w:r>
      <w:r w:rsidR="002E466A">
        <w:t xml:space="preserve"> </w:t>
      </w:r>
      <w:r w:rsidRPr="005316C8">
        <w:t xml:space="preserve"> Vaḥíd escaped</w:t>
      </w:r>
      <w:r w:rsidR="000B7B9C">
        <w:t xml:space="preserve"> </w:t>
      </w:r>
      <w:r w:rsidRPr="005316C8">
        <w:t>with about seventy of his friends and took refuge in an abandoned fort on the</w:t>
      </w:r>
      <w:r w:rsidR="000B7B9C">
        <w:t xml:space="preserve"> </w:t>
      </w:r>
      <w:r w:rsidRPr="005316C8">
        <w:t>outskirts of the town.</w:t>
      </w:r>
      <w:r w:rsidR="002E466A">
        <w:t xml:space="preserve"> </w:t>
      </w:r>
      <w:r w:rsidRPr="005316C8">
        <w:t xml:space="preserve"> As at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the vastly superior government</w:t>
      </w:r>
      <w:r w:rsidR="000B7B9C">
        <w:t xml:space="preserve"> </w:t>
      </w:r>
      <w:r w:rsidRPr="005316C8">
        <w:t xml:space="preserve">force was unable to defeat the small band, armed primarily with swords. </w:t>
      </w:r>
      <w:r w:rsidR="002E466A">
        <w:t xml:space="preserve"> </w:t>
      </w:r>
      <w:r w:rsidRPr="005316C8">
        <w:t>After</w:t>
      </w:r>
      <w:r w:rsidR="000B7B9C">
        <w:t xml:space="preserve"> </w:t>
      </w:r>
      <w:r w:rsidRPr="005316C8">
        <w:t>a month, the leader of the government forces offered a truce to induce Vaḥíd to</w:t>
      </w:r>
    </w:p>
    <w:p w:rsidR="002E466A" w:rsidRDefault="002E466A" w:rsidP="008C02BB">
      <w:r>
        <w:br w:type="page"/>
      </w:r>
    </w:p>
    <w:p w:rsidR="00357426" w:rsidRPr="005316C8" w:rsidRDefault="00357426" w:rsidP="008C02BB">
      <w:pPr>
        <w:pStyle w:val="Textcts"/>
      </w:pPr>
      <w:r w:rsidRPr="005316C8">
        <w:lastRenderedPageBreak/>
        <w:t xml:space="preserve">leave the fort and meet with him. </w:t>
      </w:r>
      <w:r w:rsidR="002E466A">
        <w:t xml:space="preserve"> </w:t>
      </w:r>
      <w:r w:rsidRPr="005316C8">
        <w:t>This was followed a few days later by the</w:t>
      </w:r>
      <w:r w:rsidR="000B7B9C">
        <w:t xml:space="preserve"> </w:t>
      </w:r>
      <w:r w:rsidRPr="005316C8">
        <w:t xml:space="preserve">treacherous slaughter of Vaḥíd and his companions. </w:t>
      </w:r>
      <w:r w:rsidR="002E466A">
        <w:t xml:space="preserve"> </w:t>
      </w:r>
      <w:r w:rsidRPr="005316C8">
        <w:t>This was the Nayríz</w:t>
      </w:r>
      <w:r w:rsidR="000B7B9C">
        <w:t xml:space="preserve"> </w:t>
      </w:r>
      <w:r w:rsidRPr="005316C8">
        <w:t>incident.</w:t>
      </w:r>
    </w:p>
    <w:p w:rsidR="00357426" w:rsidRPr="005316C8" w:rsidRDefault="00357426" w:rsidP="000B7B9C">
      <w:pPr>
        <w:pStyle w:val="Text"/>
      </w:pPr>
      <w:r w:rsidRPr="005316C8">
        <w:t xml:space="preserve">Finally, at Zanján, in the </w:t>
      </w:r>
      <w:r w:rsidR="002E466A">
        <w:t>n</w:t>
      </w:r>
      <w:r w:rsidRPr="005316C8">
        <w:t>orth of Persia, a considerable segment of the</w:t>
      </w:r>
      <w:r w:rsidR="000B7B9C">
        <w:t xml:space="preserve"> </w:t>
      </w:r>
      <w:r w:rsidRPr="005316C8">
        <w:t>population had become followers of the Báb, primarily through the</w:t>
      </w:r>
      <w:r w:rsidR="000B7B9C">
        <w:t xml:space="preserve"> </w:t>
      </w:r>
      <w:r w:rsidRPr="005316C8">
        <w:t xml:space="preserve">remarkable teaching efforts of one Ḥujjat. </w:t>
      </w:r>
      <w:r w:rsidR="002E466A">
        <w:t xml:space="preserve"> </w:t>
      </w:r>
      <w:r w:rsidRPr="005316C8">
        <w:t>In May 1850, the Governor of</w:t>
      </w:r>
      <w:r w:rsidR="000B7B9C">
        <w:t xml:space="preserve"> </w:t>
      </w:r>
      <w:r w:rsidRPr="005316C8">
        <w:t>Zanján decreed that the town be separated into two distinct quarters, Bábís</w:t>
      </w:r>
      <w:r w:rsidR="000B7B9C">
        <w:t xml:space="preserve"> </w:t>
      </w:r>
      <w:r w:rsidRPr="005316C8">
        <w:t xml:space="preserve">on the one hand and non-Bábís on the other. </w:t>
      </w:r>
      <w:r w:rsidR="002E466A">
        <w:t xml:space="preserve"> </w:t>
      </w:r>
      <w:r w:rsidRPr="005316C8">
        <w:t>Every single member of the city</w:t>
      </w:r>
      <w:r w:rsidR="000B7B9C">
        <w:t xml:space="preserve"> </w:t>
      </w:r>
      <w:r w:rsidRPr="005316C8">
        <w:t xml:space="preserve">had to decide to which group he belonged. </w:t>
      </w:r>
      <w:r w:rsidR="002E466A">
        <w:t xml:space="preserve"> </w:t>
      </w:r>
      <w:r w:rsidRPr="005316C8">
        <w:t>After the separation took place,</w:t>
      </w:r>
      <w:r w:rsidR="000B7B9C">
        <w:t xml:space="preserve"> </w:t>
      </w:r>
      <w:r w:rsidRPr="005316C8">
        <w:t>there were about three thousand inhabitants, men, women and children, in</w:t>
      </w:r>
      <w:r w:rsidR="000B7B9C">
        <w:t xml:space="preserve"> </w:t>
      </w:r>
      <w:r w:rsidRPr="005316C8">
        <w:t>the Bábí sector under the leadership of Ḥujjat.</w:t>
      </w:r>
      <w:r w:rsidR="002E466A">
        <w:t xml:space="preserve"> </w:t>
      </w:r>
      <w:r w:rsidRPr="005316C8">
        <w:t xml:space="preserve"> The Bábís took refuge in a</w:t>
      </w:r>
      <w:r w:rsidR="000B7B9C">
        <w:t xml:space="preserve"> </w:t>
      </w:r>
      <w:r w:rsidRPr="005316C8">
        <w:t xml:space="preserve">nearby fort. </w:t>
      </w:r>
      <w:r w:rsidR="002E466A">
        <w:t xml:space="preserve"> </w:t>
      </w:r>
      <w:r w:rsidRPr="005316C8">
        <w:t>A nine-month siege then followed in which again vastly superior</w:t>
      </w:r>
      <w:r w:rsidR="000B7B9C">
        <w:t xml:space="preserve"> </w:t>
      </w:r>
      <w:r w:rsidRPr="005316C8">
        <w:t xml:space="preserve">forces were unable to reduce the Bábís. </w:t>
      </w:r>
      <w:r w:rsidR="002E466A">
        <w:t xml:space="preserve"> </w:t>
      </w:r>
      <w:r w:rsidRPr="005316C8">
        <w:t>As in the other two incidents, a</w:t>
      </w:r>
      <w:r w:rsidR="000B7B9C">
        <w:t xml:space="preserve"> </w:t>
      </w:r>
      <w:r w:rsidRPr="005316C8">
        <w:t xml:space="preserve">pledge of peace and safe conduct was made on a copy of the Qur’án. </w:t>
      </w:r>
      <w:r w:rsidR="002E466A">
        <w:t xml:space="preserve"> </w:t>
      </w:r>
      <w:r w:rsidRPr="005316C8">
        <w:t>Ḥujjat</w:t>
      </w:r>
      <w:r w:rsidR="000B7B9C">
        <w:t xml:space="preserve"> </w:t>
      </w:r>
      <w:r w:rsidRPr="005316C8">
        <w:t>responded by sending a small delegation of old men and young children.</w:t>
      </w:r>
      <w:r w:rsidR="000B7B9C">
        <w:t xml:space="preserve">  </w:t>
      </w:r>
      <w:r w:rsidRPr="005316C8">
        <w:t>This delegation was cruelly mistreated, making the true intentions of the</w:t>
      </w:r>
      <w:r w:rsidR="000B7B9C">
        <w:t xml:space="preserve"> </w:t>
      </w:r>
      <w:r w:rsidRPr="005316C8">
        <w:t xml:space="preserve">government forces clear to all. </w:t>
      </w:r>
      <w:r w:rsidR="002E466A">
        <w:t xml:space="preserve"> </w:t>
      </w:r>
      <w:r w:rsidRPr="005316C8">
        <w:t>There followed yet another month of siege in</w:t>
      </w:r>
      <w:r w:rsidR="000B7B9C">
        <w:t xml:space="preserve"> </w:t>
      </w:r>
      <w:r w:rsidRPr="005316C8">
        <w:t xml:space="preserve">which the Bábí force was finally reduced to less than two hundred able-bodied men. </w:t>
      </w:r>
      <w:r w:rsidR="002E466A">
        <w:t xml:space="preserve"> </w:t>
      </w:r>
      <w:r w:rsidRPr="005316C8">
        <w:t>At that point, the Bábís had no other choice than to capitulate,</w:t>
      </w:r>
      <w:r w:rsidR="000B7B9C">
        <w:t xml:space="preserve"> </w:t>
      </w:r>
      <w:r w:rsidRPr="005316C8">
        <w:t>after which most of those who remained were slaughtered.</w:t>
      </w:r>
    </w:p>
    <w:p w:rsidR="00357426" w:rsidRPr="005316C8" w:rsidRDefault="00357426" w:rsidP="00357426">
      <w:pPr>
        <w:pStyle w:val="Text"/>
      </w:pPr>
      <w:r w:rsidRPr="005316C8">
        <w:t>There were, however, survivors both from Nayríz and Zanján who were</w:t>
      </w:r>
      <w:r w:rsidR="000B7B9C">
        <w:t xml:space="preserve"> </w:t>
      </w:r>
      <w:r w:rsidRPr="005316C8">
        <w:t>able to verify the details of what transpired during these incidents.</w:t>
      </w:r>
    </w:p>
    <w:p w:rsidR="00357426" w:rsidRPr="005316C8" w:rsidRDefault="00357426" w:rsidP="002E466A">
      <w:pPr>
        <w:pStyle w:val="Text"/>
      </w:pPr>
      <w:r w:rsidRPr="005316C8">
        <w:t xml:space="preserve">These are the three main incidents </w:t>
      </w:r>
      <w:r w:rsidR="002E466A">
        <w:t>that</w:t>
      </w:r>
      <w:r w:rsidRPr="005316C8">
        <w:t xml:space="preserve"> </w:t>
      </w:r>
      <w:r w:rsidR="007031B1" w:rsidRPr="007031B1">
        <w:rPr>
          <w:i/>
          <w:iCs/>
        </w:rPr>
        <w:t>Concept</w:t>
      </w:r>
      <w:r w:rsidRPr="005316C8">
        <w:t xml:space="preserve"> seeks to explain on the</w:t>
      </w:r>
      <w:r w:rsidR="000B7B9C">
        <w:t xml:space="preserve"> </w:t>
      </w:r>
      <w:r w:rsidRPr="005316C8">
        <w:t xml:space="preserve">basis of </w:t>
      </w:r>
      <w:r w:rsidR="007031B1" w:rsidRPr="007031B1">
        <w:rPr>
          <w:i/>
          <w:iCs/>
        </w:rPr>
        <w:t>jihád</w:t>
      </w:r>
      <w:r w:rsidRPr="005316C8">
        <w:t>.</w:t>
      </w:r>
      <w:r w:rsidR="002E466A">
        <w:t xml:space="preserve"> </w:t>
      </w:r>
      <w:r w:rsidRPr="005316C8">
        <w:t xml:space="preserve"> Of course, we have already seen that, in the concluding portion</w:t>
      </w:r>
      <w:r w:rsidR="000B7B9C">
        <w:t xml:space="preserve"> </w:t>
      </w:r>
      <w:r w:rsidRPr="005316C8">
        <w:t>of his article, Denis MacEoin is constrained to admit that the Bábís never</w:t>
      </w:r>
      <w:r w:rsidR="000B7B9C">
        <w:t xml:space="preserve"> </w:t>
      </w:r>
      <w:r w:rsidRPr="005316C8">
        <w:t>declared holy war on their adversaries.</w:t>
      </w:r>
      <w:r w:rsidR="002E466A">
        <w:t xml:space="preserve"> </w:t>
      </w:r>
      <w:r w:rsidRPr="005316C8">
        <w:t xml:space="preserve"> He characterizes each of the conflicts</w:t>
      </w:r>
      <w:r w:rsidR="000B7B9C">
        <w:t xml:space="preserve"> </w:t>
      </w:r>
      <w:r w:rsidRPr="005316C8">
        <w:t xml:space="preserve">as a ‘defensive </w:t>
      </w:r>
      <w:r w:rsidR="007031B1" w:rsidRPr="007031B1">
        <w:rPr>
          <w:i/>
          <w:iCs/>
        </w:rPr>
        <w:t>jihád</w:t>
      </w:r>
      <w:r w:rsidRPr="005316C8">
        <w:t>’, i.e., a defense undertaken for primarily religious rather</w:t>
      </w:r>
      <w:r w:rsidR="000B7B9C">
        <w:t xml:space="preserve"> </w:t>
      </w:r>
      <w:r w:rsidRPr="005316C8">
        <w:t>than political or social motives.</w:t>
      </w:r>
      <w:r w:rsidR="002E466A">
        <w:t xml:space="preserve"> </w:t>
      </w:r>
      <w:r w:rsidRPr="005316C8">
        <w:t xml:space="preserve"> However, MacEoin does level against the</w:t>
      </w:r>
      <w:r w:rsidR="000B7B9C">
        <w:t xml:space="preserve"> </w:t>
      </w:r>
      <w:r w:rsidRPr="005316C8">
        <w:t>Bábís the charge of militant provocation, thus laying upon them the indirect</w:t>
      </w:r>
      <w:r w:rsidR="000B7B9C">
        <w:t xml:space="preserve"> </w:t>
      </w:r>
      <w:r w:rsidRPr="005316C8">
        <w:t>blame for initiating these bloody confrontations:</w:t>
      </w:r>
    </w:p>
    <w:p w:rsidR="00357426" w:rsidRPr="005316C8" w:rsidRDefault="002E466A" w:rsidP="002E466A">
      <w:pPr>
        <w:pStyle w:val="Quote"/>
      </w:pPr>
      <w:r>
        <w:t>…</w:t>
      </w:r>
      <w:r w:rsidR="00357426" w:rsidRPr="005316C8">
        <w:t xml:space="preserve"> their refusal to recognize existing ecclesiastical and secular authority, their</w:t>
      </w:r>
      <w:r w:rsidR="000B7B9C">
        <w:t xml:space="preserve"> </w:t>
      </w:r>
      <w:r w:rsidR="00357426" w:rsidRPr="005316C8">
        <w:t>carrying of arms in situations of considerable political instability, and their</w:t>
      </w:r>
      <w:r w:rsidR="000B7B9C">
        <w:t xml:space="preserve"> </w:t>
      </w:r>
      <w:r w:rsidR="00357426" w:rsidRPr="005316C8">
        <w:t>generally aggressive manner resulted in clashes between them and the civilian</w:t>
      </w:r>
      <w:r w:rsidR="000B7B9C">
        <w:t xml:space="preserve"> </w:t>
      </w:r>
      <w:r w:rsidR="00357426" w:rsidRPr="005316C8">
        <w:t>population which quickly escalated into full-scale struggles.</w:t>
      </w:r>
      <w:r>
        <w:rPr>
          <w:rStyle w:val="EndnoteReference"/>
        </w:rPr>
        <w:endnoteReference w:id="60"/>
      </w:r>
    </w:p>
    <w:p w:rsidR="00357426" w:rsidRPr="005316C8" w:rsidRDefault="00357426" w:rsidP="000B7B9C">
      <w:pPr>
        <w:pStyle w:val="Text"/>
      </w:pPr>
      <w:r w:rsidRPr="005316C8">
        <w:t>This passage summarizes the various charges against the Bábís which</w:t>
      </w:r>
      <w:r w:rsidR="000B7B9C">
        <w:t xml:space="preserve"> </w:t>
      </w:r>
      <w:r w:rsidRPr="005316C8">
        <w:t>MacEoin makes throughout his article.</w:t>
      </w:r>
      <w:r w:rsidR="002E466A">
        <w:t xml:space="preserve"> </w:t>
      </w:r>
      <w:r w:rsidRPr="005316C8">
        <w:t xml:space="preserve"> Let us examine each of them briefly.</w:t>
      </w:r>
      <w:r w:rsidR="000B7B9C">
        <w:t xml:space="preserve">  </w:t>
      </w:r>
      <w:r w:rsidRPr="005316C8">
        <w:t>The Báb never taught the destruction of any political regime, nor did he</w:t>
      </w:r>
      <w:r w:rsidR="000B7B9C">
        <w:t xml:space="preserve"> </w:t>
      </w:r>
      <w:r w:rsidRPr="005316C8">
        <w:t>seek in any way to subvert the secular or political authority of the existing</w:t>
      </w:r>
      <w:r w:rsidR="000B7B9C">
        <w:t xml:space="preserve"> </w:t>
      </w:r>
      <w:r w:rsidRPr="005316C8">
        <w:t xml:space="preserve">state. </w:t>
      </w:r>
      <w:r w:rsidR="002E466A">
        <w:t xml:space="preserve"> </w:t>
      </w:r>
      <w:r w:rsidRPr="005316C8">
        <w:t>His followers likewise proclaimed in word and deed their acceptance of</w:t>
      </w:r>
      <w:r w:rsidR="000B7B9C">
        <w:t xml:space="preserve"> </w:t>
      </w:r>
      <w:r w:rsidRPr="005316C8">
        <w:t>and respect for established legal authority.</w:t>
      </w:r>
      <w:r w:rsidR="00426A8A">
        <w:t xml:space="preserve"> </w:t>
      </w:r>
      <w:r w:rsidRPr="005316C8">
        <w:t xml:space="preserve"> In none of the above three</w:t>
      </w:r>
      <w:r w:rsidR="000B7B9C">
        <w:t xml:space="preserve"> </w:t>
      </w:r>
      <w:r w:rsidRPr="005316C8">
        <w:t>confrontations were the Bábís initially charged by their persecutors with</w:t>
      </w:r>
    </w:p>
    <w:p w:rsidR="002E466A" w:rsidRDefault="002E466A" w:rsidP="008C02BB">
      <w:r>
        <w:br w:type="page"/>
      </w:r>
    </w:p>
    <w:p w:rsidR="00357426" w:rsidRPr="005316C8" w:rsidRDefault="00357426" w:rsidP="002E466A">
      <w:pPr>
        <w:pStyle w:val="Textcts"/>
      </w:pPr>
      <w:r w:rsidRPr="005316C8">
        <w:lastRenderedPageBreak/>
        <w:t>violation of local or state laws or of otherwise attempting to subvert</w:t>
      </w:r>
      <w:r w:rsidR="000B7B9C">
        <w:t xml:space="preserve"> </w:t>
      </w:r>
      <w:r w:rsidRPr="005316C8">
        <w:t>government authority.</w:t>
      </w:r>
      <w:r w:rsidR="002E466A">
        <w:rPr>
          <w:rStyle w:val="EndnoteReference"/>
        </w:rPr>
        <w:endnoteReference w:id="61"/>
      </w:r>
      <w:r w:rsidRPr="005316C8">
        <w:t xml:space="preserve">  It is difficult, therefore, to see how any supposed</w:t>
      </w:r>
      <w:r w:rsidR="000B7B9C">
        <w:t xml:space="preserve"> </w:t>
      </w:r>
      <w:r w:rsidRPr="005316C8">
        <w:t>Bábí rebelliousness towards secular authority could be construed as the</w:t>
      </w:r>
      <w:r w:rsidR="000B7B9C">
        <w:t xml:space="preserve"> </w:t>
      </w:r>
      <w:r w:rsidRPr="005316C8">
        <w:t>cause of these incidents.</w:t>
      </w:r>
    </w:p>
    <w:p w:rsidR="00357426" w:rsidRPr="005316C8" w:rsidRDefault="00357426" w:rsidP="000B7B9C">
      <w:pPr>
        <w:pStyle w:val="Text"/>
      </w:pPr>
      <w:r w:rsidRPr="005316C8">
        <w:t>As to their attitude towards religious authority, it is clear that the Bábís</w:t>
      </w:r>
      <w:r w:rsidR="000B7B9C">
        <w:t xml:space="preserve"> </w:t>
      </w:r>
      <w:r w:rsidRPr="005316C8">
        <w:t>regarded the ‘ulamá as corrupt, and that the Bábís openly taught their Faith</w:t>
      </w:r>
      <w:r w:rsidR="000B7B9C">
        <w:t xml:space="preserve"> </w:t>
      </w:r>
      <w:r w:rsidRPr="005316C8">
        <w:t>to others and sought converts among the Muslim population.</w:t>
      </w:r>
      <w:r w:rsidR="002E466A">
        <w:t xml:space="preserve"> </w:t>
      </w:r>
      <w:r w:rsidRPr="005316C8">
        <w:t xml:space="preserve"> It was clearly</w:t>
      </w:r>
      <w:r w:rsidR="000B7B9C">
        <w:t xml:space="preserve"> </w:t>
      </w:r>
      <w:r w:rsidRPr="005316C8">
        <w:t>their notable success in converting considerable numbers of the populace in</w:t>
      </w:r>
      <w:r w:rsidR="000B7B9C">
        <w:t xml:space="preserve"> </w:t>
      </w:r>
      <w:r w:rsidRPr="005316C8">
        <w:t>various corners of the land that angered the clergy and incited them to rise</w:t>
      </w:r>
      <w:r w:rsidR="000B7B9C">
        <w:t xml:space="preserve"> </w:t>
      </w:r>
      <w:r w:rsidRPr="005316C8">
        <w:t>up against the Bábís.</w:t>
      </w:r>
      <w:r w:rsidR="002E466A">
        <w:t xml:space="preserve"> </w:t>
      </w:r>
      <w:r w:rsidRPr="005316C8">
        <w:t xml:space="preserve"> However, the Bábís never sought to restrict the right of</w:t>
      </w:r>
      <w:r w:rsidR="000B7B9C">
        <w:t xml:space="preserve"> </w:t>
      </w:r>
      <w:r w:rsidRPr="005316C8">
        <w:t>convinced Muslims to practice their own religious laws in their own way.</w:t>
      </w:r>
      <w:r w:rsidR="000B7B9C">
        <w:t xml:space="preserve">  </w:t>
      </w:r>
      <w:r w:rsidRPr="005316C8">
        <w:t>They sought only to have, for themselves, the same right, and it was this</w:t>
      </w:r>
      <w:r w:rsidR="000B7B9C">
        <w:t xml:space="preserve"> </w:t>
      </w:r>
      <w:r w:rsidRPr="005316C8">
        <w:t>right that was denied them by their persecutors.</w:t>
      </w:r>
    </w:p>
    <w:p w:rsidR="00357426" w:rsidRPr="005316C8" w:rsidRDefault="00357426" w:rsidP="00357426">
      <w:pPr>
        <w:pStyle w:val="Text"/>
      </w:pPr>
      <w:r w:rsidRPr="005316C8">
        <w:t>Regarding the ‘carrying of arms in situations of considerable political</w:t>
      </w:r>
      <w:r w:rsidR="000B7B9C">
        <w:t xml:space="preserve"> </w:t>
      </w:r>
      <w:r w:rsidRPr="005316C8">
        <w:t>instability’:  the ‘political instability’ referred to here is just a euphemism for</w:t>
      </w:r>
      <w:r w:rsidR="000B7B9C">
        <w:t xml:space="preserve"> </w:t>
      </w:r>
      <w:r w:rsidRPr="005316C8">
        <w:t xml:space="preserve">the reign of terror that was directed against the Bábís. </w:t>
      </w:r>
      <w:r w:rsidR="002E466A">
        <w:t xml:space="preserve"> </w:t>
      </w:r>
      <w:r w:rsidRPr="005316C8">
        <w:t>That they bore arms</w:t>
      </w:r>
      <w:r w:rsidR="000B7B9C">
        <w:t xml:space="preserve"> </w:t>
      </w:r>
      <w:r w:rsidRPr="005316C8">
        <w:t xml:space="preserve">in their own defense can hardly be conceived as the </w:t>
      </w:r>
      <w:r w:rsidRPr="002E466A">
        <w:rPr>
          <w:i/>
          <w:iCs/>
        </w:rPr>
        <w:t>cause</w:t>
      </w:r>
      <w:r w:rsidRPr="005316C8">
        <w:t xml:space="preserve"> of the </w:t>
      </w:r>
      <w:r w:rsidRPr="002E466A">
        <w:rPr>
          <w:i/>
          <w:iCs/>
        </w:rPr>
        <w:t>pre-existing</w:t>
      </w:r>
      <w:r w:rsidR="000B7B9C">
        <w:t xml:space="preserve"> </w:t>
      </w:r>
      <w:r w:rsidRPr="005316C8">
        <w:t>‘political instability’, i.e. of the terror being directed towards them.</w:t>
      </w:r>
    </w:p>
    <w:p w:rsidR="00357426" w:rsidRPr="005316C8" w:rsidRDefault="00357426" w:rsidP="008C02BB">
      <w:pPr>
        <w:pStyle w:val="Text"/>
      </w:pPr>
      <w:r w:rsidRPr="005316C8">
        <w:t>Finally, regarding their ‘generally aggressive manner’:  It is true that the</w:t>
      </w:r>
      <w:r w:rsidR="000B7B9C">
        <w:t xml:space="preserve"> </w:t>
      </w:r>
      <w:r w:rsidRPr="005316C8">
        <w:t>Bábís were, in many instances, quite fearless in teaching their Faith and</w:t>
      </w:r>
      <w:r w:rsidR="000B7B9C">
        <w:t xml:space="preserve"> </w:t>
      </w:r>
      <w:r w:rsidRPr="005316C8">
        <w:t>quite fiery in supporting, through arguments, prophecies, and traditions, its</w:t>
      </w:r>
      <w:r w:rsidR="000B7B9C">
        <w:t xml:space="preserve"> </w:t>
      </w:r>
      <w:r w:rsidRPr="005316C8">
        <w:t xml:space="preserve">truth. </w:t>
      </w:r>
      <w:r w:rsidR="008C02BB">
        <w:t xml:space="preserve"> </w:t>
      </w:r>
      <w:r w:rsidRPr="005316C8">
        <w:t>One can quite imagine, for example, the discomfiture felt by arrogant</w:t>
      </w:r>
      <w:r w:rsidR="000B7B9C">
        <w:t xml:space="preserve"> </w:t>
      </w:r>
      <w:r w:rsidRPr="005316C8">
        <w:t>and self-righteous mullás who were unable to defeat in argument such a one</w:t>
      </w:r>
      <w:r w:rsidR="000B7B9C">
        <w:t xml:space="preserve"> </w:t>
      </w:r>
      <w:r w:rsidRPr="005316C8">
        <w:t xml:space="preserve">as Ṭáhirih, a woman. </w:t>
      </w:r>
      <w:r w:rsidR="008C02BB">
        <w:t xml:space="preserve"> </w:t>
      </w:r>
      <w:r w:rsidRPr="005316C8">
        <w:t>But what is clear beyond any doubt is the Bábís’</w:t>
      </w:r>
      <w:r w:rsidR="000B7B9C">
        <w:t xml:space="preserve"> </w:t>
      </w:r>
      <w:r w:rsidRPr="005316C8">
        <w:t>consistent refusal to declare holy war or engage in aggressive acts.</w:t>
      </w:r>
      <w:r w:rsidR="008C02BB">
        <w:rPr>
          <w:rStyle w:val="EndnoteReference"/>
        </w:rPr>
        <w:endnoteReference w:id="62"/>
      </w:r>
      <w:r w:rsidRPr="005316C8">
        <w:t xml:space="preserve">  For</w:t>
      </w:r>
      <w:r w:rsidR="000B7B9C">
        <w:t xml:space="preserve"> </w:t>
      </w:r>
      <w:r w:rsidRPr="005316C8">
        <w:t>example, Quddús, who was delivered from his confinement in Sárí, who</w:t>
      </w:r>
      <w:r w:rsidR="000B7B9C">
        <w:t xml:space="preserve"> </w:t>
      </w:r>
      <w:r w:rsidRPr="005316C8">
        <w:t xml:space="preserve">participated in the siege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and who was among the</w:t>
      </w:r>
      <w:r w:rsidR="000B7B9C">
        <w:t xml:space="preserve"> </w:t>
      </w:r>
      <w:r w:rsidRPr="005316C8">
        <w:t>survivors martyred after the surrender, made this point very clear in the</w:t>
      </w:r>
      <w:r w:rsidR="000B7B9C">
        <w:t xml:space="preserve"> </w:t>
      </w:r>
      <w:r w:rsidRPr="005316C8">
        <w:t>following statement:</w:t>
      </w:r>
    </w:p>
    <w:p w:rsidR="00357426" w:rsidRPr="005316C8" w:rsidRDefault="00357426" w:rsidP="008C02BB">
      <w:pPr>
        <w:pStyle w:val="Quote"/>
      </w:pPr>
      <w:r w:rsidRPr="005316C8">
        <w:t xml:space="preserve">Never since our occupation of this fort </w:t>
      </w:r>
      <w:r w:rsidR="008C02BB">
        <w:t>…</w:t>
      </w:r>
      <w:r w:rsidRPr="005316C8">
        <w:t xml:space="preserve"> have we under any circumstances</w:t>
      </w:r>
      <w:r w:rsidR="000B7B9C">
        <w:t xml:space="preserve"> </w:t>
      </w:r>
      <w:r w:rsidRPr="005316C8">
        <w:t xml:space="preserve">attempted to direct any offensive against our opponents. </w:t>
      </w:r>
      <w:r w:rsidR="008C02BB">
        <w:t xml:space="preserve"> </w:t>
      </w:r>
      <w:r w:rsidRPr="005316C8">
        <w:t>Not until they</w:t>
      </w:r>
      <w:r w:rsidR="000B7B9C">
        <w:t xml:space="preserve"> </w:t>
      </w:r>
      <w:r w:rsidRPr="005316C8">
        <w:t xml:space="preserve">unchained their attack upon us did we arise to defend our lives. </w:t>
      </w:r>
      <w:r w:rsidR="008C02BB">
        <w:t xml:space="preserve"> </w:t>
      </w:r>
      <w:r w:rsidRPr="005316C8">
        <w:t>Had we</w:t>
      </w:r>
      <w:r w:rsidR="000B7B9C">
        <w:t xml:space="preserve"> </w:t>
      </w:r>
      <w:r w:rsidRPr="005316C8">
        <w:t>cherished the ambition of waging holy war against them, had we harboured the</w:t>
      </w:r>
      <w:r w:rsidR="000B7B9C">
        <w:t xml:space="preserve"> </w:t>
      </w:r>
      <w:r w:rsidRPr="005316C8">
        <w:t>least intention of achieving ascendancy through the power of our arms over the</w:t>
      </w:r>
      <w:r w:rsidR="000B7B9C">
        <w:t xml:space="preserve"> </w:t>
      </w:r>
      <w:r w:rsidRPr="005316C8">
        <w:t>unbelievers, we should not, until this day, have remained besieged within these</w:t>
      </w:r>
      <w:r w:rsidR="000B7B9C">
        <w:t xml:space="preserve"> </w:t>
      </w:r>
      <w:r w:rsidRPr="005316C8">
        <w:t>walls.</w:t>
      </w:r>
      <w:r w:rsidR="008C02BB">
        <w:rPr>
          <w:rStyle w:val="EndnoteReference"/>
        </w:rPr>
        <w:endnoteReference w:id="63"/>
      </w:r>
    </w:p>
    <w:p w:rsidR="00357426" w:rsidRPr="005316C8" w:rsidRDefault="00357426" w:rsidP="00357426">
      <w:pPr>
        <w:pStyle w:val="Text"/>
      </w:pPr>
      <w:r w:rsidRPr="005316C8">
        <w:t xml:space="preserve">Moreover, let us observe how far we have now come from the </w:t>
      </w:r>
      <w:r w:rsidR="007031B1" w:rsidRPr="007031B1">
        <w:rPr>
          <w:i/>
          <w:iCs/>
        </w:rPr>
        <w:t>jihád</w:t>
      </w:r>
      <w:r w:rsidRPr="005316C8">
        <w:t xml:space="preserve"> thesis</w:t>
      </w:r>
      <w:r w:rsidR="000B7B9C">
        <w:t xml:space="preserve"> </w:t>
      </w:r>
      <w:r w:rsidRPr="005316C8">
        <w:t xml:space="preserve">of </w:t>
      </w:r>
      <w:r w:rsidR="007031B1" w:rsidRPr="007031B1">
        <w:rPr>
          <w:i/>
          <w:iCs/>
        </w:rPr>
        <w:t>Concept</w:t>
      </w:r>
      <w:r w:rsidRPr="005316C8">
        <w:t xml:space="preserve"> which holds that ‘Bábí </w:t>
      </w:r>
      <w:r w:rsidR="007031B1" w:rsidRPr="007031B1">
        <w:rPr>
          <w:i/>
          <w:iCs/>
        </w:rPr>
        <w:t>jihád</w:t>
      </w:r>
      <w:r w:rsidRPr="005316C8">
        <w:t>’ is the key to understanding the</w:t>
      </w:r>
      <w:r w:rsidR="000B7B9C">
        <w:t xml:space="preserve"> </w:t>
      </w:r>
      <w:r w:rsidRPr="005316C8">
        <w:t xml:space="preserve">conflicts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Nayríz, and Zanján. </w:t>
      </w:r>
      <w:r w:rsidR="008C02BB">
        <w:t xml:space="preserve"> </w:t>
      </w:r>
      <w:r w:rsidRPr="005316C8">
        <w:t>Having concluded, with</w:t>
      </w:r>
      <w:r w:rsidR="000B7B9C">
        <w:t xml:space="preserve"> </w:t>
      </w:r>
      <w:r w:rsidRPr="005316C8">
        <w:t xml:space="preserve">MacEoin, that the Bábís never declared </w:t>
      </w:r>
      <w:r w:rsidR="007031B1" w:rsidRPr="007031B1">
        <w:rPr>
          <w:i/>
          <w:iCs/>
        </w:rPr>
        <w:t>jihád</w:t>
      </w:r>
      <w:r w:rsidRPr="005316C8">
        <w:t>, we are now considering</w:t>
      </w:r>
      <w:r w:rsidR="000B7B9C">
        <w:t xml:space="preserve"> </w:t>
      </w:r>
      <w:r w:rsidRPr="005316C8">
        <w:t>whether or not the Bábís’ forthright teaching of their Faith to their fellow</w:t>
      </w:r>
      <w:r w:rsidR="000B7B9C">
        <w:t xml:space="preserve"> </w:t>
      </w:r>
      <w:r w:rsidRPr="005316C8">
        <w:t>countrymen (what MacEoin calls their ‘generally aggressive manner’) is the</w:t>
      </w:r>
    </w:p>
    <w:p w:rsidR="008C02BB" w:rsidRDefault="008C02BB" w:rsidP="008C02BB">
      <w:r>
        <w:br w:type="page"/>
      </w:r>
    </w:p>
    <w:p w:rsidR="00357426" w:rsidRPr="005316C8" w:rsidRDefault="00357426" w:rsidP="008C02BB">
      <w:pPr>
        <w:pStyle w:val="Textcts"/>
      </w:pPr>
      <w:r w:rsidRPr="005316C8">
        <w:lastRenderedPageBreak/>
        <w:t>genesis of the persecutions which rained down upon them, a different</w:t>
      </w:r>
      <w:r w:rsidR="000B7B9C">
        <w:t xml:space="preserve"> </w:t>
      </w:r>
      <w:r w:rsidRPr="005316C8">
        <w:t>question entirely.</w:t>
      </w:r>
    </w:p>
    <w:p w:rsidR="00357426" w:rsidRPr="005316C8" w:rsidRDefault="00357426" w:rsidP="008C02BB">
      <w:pPr>
        <w:pStyle w:val="Text"/>
      </w:pPr>
      <w:r w:rsidRPr="005316C8">
        <w:t>Had the Bábís not been so successful in converting large numbers of their</w:t>
      </w:r>
      <w:r w:rsidR="000B7B9C">
        <w:t xml:space="preserve"> </w:t>
      </w:r>
      <w:r w:rsidRPr="005316C8">
        <w:t xml:space="preserve">countrymen to the Báb’s Faith, the conflicts of </w:t>
      </w:r>
      <w:r w:rsidR="007031B1" w:rsidRPr="007031B1">
        <w:rPr>
          <w:u w:val="single"/>
        </w:rPr>
        <w:t>Sh</w:t>
      </w:r>
      <w:r w:rsidR="007031B1" w:rsidRPr="005316C8">
        <w:t>ay</w:t>
      </w:r>
      <w:r w:rsidR="007031B1" w:rsidRPr="007031B1">
        <w:rPr>
          <w:u w:val="single"/>
        </w:rPr>
        <w:t>kh</w:t>
      </w:r>
      <w:r w:rsidRPr="005316C8">
        <w:t xml:space="preserve"> Ṭabarsí, Nayríz, and</w:t>
      </w:r>
      <w:r w:rsidR="000B7B9C">
        <w:t xml:space="preserve"> </w:t>
      </w:r>
      <w:r w:rsidRPr="005316C8">
        <w:t>Zanján could never have taken place, because there would have been</w:t>
      </w:r>
      <w:r w:rsidR="000B7B9C">
        <w:t xml:space="preserve"> </w:t>
      </w:r>
      <w:r w:rsidRPr="005316C8">
        <w:t>essentially no one for the fanatical elements of the ‘ulamá and the</w:t>
      </w:r>
      <w:r w:rsidR="000B7B9C">
        <w:t xml:space="preserve"> </w:t>
      </w:r>
      <w:r w:rsidRPr="005316C8">
        <w:t xml:space="preserve">government to persecute. </w:t>
      </w:r>
      <w:r w:rsidR="008C02BB">
        <w:t xml:space="preserve"> </w:t>
      </w:r>
      <w:r w:rsidRPr="005316C8">
        <w:t>But this cannot obscure the fact that the instigators</w:t>
      </w:r>
      <w:r w:rsidR="000B7B9C">
        <w:t xml:space="preserve"> </w:t>
      </w:r>
      <w:r w:rsidRPr="005316C8">
        <w:t>and aggressors in each of these upheavals were those who arose to persecute</w:t>
      </w:r>
      <w:r w:rsidR="000B7B9C">
        <w:t xml:space="preserve"> </w:t>
      </w:r>
      <w:r w:rsidRPr="005316C8">
        <w:t>the Babís, and not the Bábís themselves.</w:t>
      </w:r>
    </w:p>
    <w:p w:rsidR="00357426" w:rsidRPr="005316C8" w:rsidRDefault="008C02BB" w:rsidP="008C02BB">
      <w:pPr>
        <w:pStyle w:val="Myhead"/>
      </w:pPr>
      <w:r w:rsidRPr="005316C8">
        <w:t>Conclusions</w:t>
      </w:r>
    </w:p>
    <w:p w:rsidR="00357426" w:rsidRPr="005316C8" w:rsidRDefault="00357426" w:rsidP="000B7B9C">
      <w:pPr>
        <w:pStyle w:val="Text"/>
      </w:pPr>
      <w:r w:rsidRPr="005316C8">
        <w:t xml:space="preserve">We have now examined a number of reasons why the </w:t>
      </w:r>
      <w:r w:rsidR="007031B1" w:rsidRPr="007031B1">
        <w:rPr>
          <w:i/>
          <w:iCs/>
        </w:rPr>
        <w:t>jihád</w:t>
      </w:r>
      <w:r w:rsidRPr="005316C8">
        <w:t xml:space="preserve"> thesis of </w:t>
      </w:r>
      <w:r w:rsidR="007031B1" w:rsidRPr="007031B1">
        <w:rPr>
          <w:i/>
          <w:iCs/>
        </w:rPr>
        <w:t>Concept</w:t>
      </w:r>
      <w:r w:rsidR="000B7B9C">
        <w:t xml:space="preserve"> </w:t>
      </w:r>
      <w:r w:rsidRPr="005316C8">
        <w:t xml:space="preserve">is defective. </w:t>
      </w:r>
      <w:r w:rsidR="00C31222">
        <w:t xml:space="preserve"> </w:t>
      </w:r>
      <w:r w:rsidRPr="005316C8">
        <w:t>In particular, we have seen that MacEoin’s exegesis of the Báb’s</w:t>
      </w:r>
      <w:r w:rsidR="000B7B9C">
        <w:t xml:space="preserve"> </w:t>
      </w:r>
      <w:r w:rsidRPr="005316C8">
        <w:t xml:space="preserve">writings neglects the claims to divine revelation contained in the </w:t>
      </w:r>
      <w:r w:rsidRPr="00C31222">
        <w:rPr>
          <w:i/>
          <w:iCs/>
        </w:rPr>
        <w:t>Qayyúmu’l-Asmá’</w:t>
      </w:r>
      <w:r w:rsidRPr="005316C8">
        <w:t>, characterizes as a Bábí doctrine what is clearly the Qur’anic one,</w:t>
      </w:r>
      <w:r w:rsidR="000B7B9C">
        <w:t xml:space="preserve"> </w:t>
      </w:r>
      <w:r w:rsidRPr="005316C8">
        <w:t xml:space="preserve">attributes to the Persian </w:t>
      </w:r>
      <w:r w:rsidR="002E466A" w:rsidRPr="002E466A">
        <w:rPr>
          <w:i/>
          <w:iCs/>
        </w:rPr>
        <w:t>Bayán</w:t>
      </w:r>
      <w:r w:rsidRPr="005316C8">
        <w:t xml:space="preserve"> a doctrine of </w:t>
      </w:r>
      <w:r w:rsidR="007031B1" w:rsidRPr="007031B1">
        <w:rPr>
          <w:i/>
          <w:iCs/>
        </w:rPr>
        <w:t>jihád</w:t>
      </w:r>
      <w:r w:rsidRPr="005316C8">
        <w:t xml:space="preserve"> which that book in no wise</w:t>
      </w:r>
      <w:r w:rsidR="000B7B9C">
        <w:t xml:space="preserve"> </w:t>
      </w:r>
      <w:r w:rsidRPr="005316C8">
        <w:t xml:space="preserve">contains, and systematically omits the central focus of the </w:t>
      </w:r>
      <w:r w:rsidR="002E466A" w:rsidRPr="002E466A">
        <w:rPr>
          <w:i/>
          <w:iCs/>
        </w:rPr>
        <w:t>Bayán</w:t>
      </w:r>
      <w:r w:rsidRPr="005316C8">
        <w:t>, namely</w:t>
      </w:r>
      <w:r w:rsidR="000B7B9C">
        <w:t xml:space="preserve"> </w:t>
      </w:r>
      <w:r w:rsidRPr="005316C8">
        <w:t xml:space="preserve">‘Him Whom God shall make manifest’. </w:t>
      </w:r>
      <w:r w:rsidR="00C31222">
        <w:t xml:space="preserve"> </w:t>
      </w:r>
      <w:r w:rsidRPr="005316C8">
        <w:t>Moreover, his interpretations of</w:t>
      </w:r>
      <w:r w:rsidR="000B7B9C">
        <w:t xml:space="preserve"> </w:t>
      </w:r>
      <w:r w:rsidRPr="005316C8">
        <w:t>events neglect the repeated statements and actions of leading Bábís which</w:t>
      </w:r>
      <w:r w:rsidR="000B7B9C">
        <w:t xml:space="preserve"> </w:t>
      </w:r>
      <w:r w:rsidRPr="005316C8">
        <w:t>clearly indicate their refusal to declare holy war against their Muslim</w:t>
      </w:r>
      <w:r w:rsidR="000B7B9C">
        <w:t xml:space="preserve"> </w:t>
      </w:r>
      <w:r w:rsidRPr="005316C8">
        <w:t xml:space="preserve">opponents. </w:t>
      </w:r>
      <w:r w:rsidR="00C31222">
        <w:t xml:space="preserve"> </w:t>
      </w:r>
      <w:r w:rsidRPr="005316C8">
        <w:t>Though forced to conclude that the Bábís never did, in fact,</w:t>
      </w:r>
      <w:r w:rsidR="000B7B9C">
        <w:t xml:space="preserve"> </w:t>
      </w:r>
      <w:r w:rsidRPr="005316C8">
        <w:t xml:space="preserve">declare </w:t>
      </w:r>
      <w:r w:rsidR="007031B1" w:rsidRPr="007031B1">
        <w:rPr>
          <w:i/>
          <w:iCs/>
        </w:rPr>
        <w:t>jihád</w:t>
      </w:r>
      <w:r w:rsidRPr="005316C8">
        <w:t>, MacEoin nevertheless seeks to blame the Bábís for the</w:t>
      </w:r>
      <w:r w:rsidR="000B7B9C">
        <w:t xml:space="preserve"> </w:t>
      </w:r>
      <w:r w:rsidRPr="005316C8">
        <w:t>persecutions they endured by attributing such persecution to a more general</w:t>
      </w:r>
      <w:r w:rsidR="000B7B9C">
        <w:t xml:space="preserve"> </w:t>
      </w:r>
      <w:r w:rsidRPr="005316C8">
        <w:t>kind of militancy on their part.</w:t>
      </w:r>
    </w:p>
    <w:p w:rsidR="00357426" w:rsidRPr="005316C8" w:rsidRDefault="00357426" w:rsidP="00357426">
      <w:pPr>
        <w:pStyle w:val="Text"/>
      </w:pPr>
      <w:r w:rsidRPr="005316C8">
        <w:t>In our refutation of these points, the present authors do not mean to imply</w:t>
      </w:r>
      <w:r w:rsidR="000B7B9C">
        <w:t xml:space="preserve"> </w:t>
      </w:r>
      <w:r w:rsidRPr="005316C8">
        <w:t xml:space="preserve">that no excesses or faults were ever committed by Bábís. </w:t>
      </w:r>
      <w:r w:rsidR="00C31222">
        <w:t xml:space="preserve"> </w:t>
      </w:r>
      <w:r w:rsidRPr="005316C8">
        <w:t>Indeed, Nabíl’s</w:t>
      </w:r>
      <w:r w:rsidR="000B7B9C">
        <w:t xml:space="preserve"> </w:t>
      </w:r>
      <w:r w:rsidRPr="005316C8">
        <w:t>narrative mentions several instances of such reprehensible actions on the</w:t>
      </w:r>
      <w:r w:rsidR="000B7B9C">
        <w:t xml:space="preserve"> </w:t>
      </w:r>
      <w:r w:rsidRPr="005316C8">
        <w:t xml:space="preserve">part of Bábís. </w:t>
      </w:r>
      <w:r w:rsidR="00C31222">
        <w:t xml:space="preserve"> </w:t>
      </w:r>
      <w:r w:rsidRPr="005316C8">
        <w:t>Moreover, in 1852, two Bábís, deranged with grief over the</w:t>
      </w:r>
      <w:r w:rsidR="000B7B9C">
        <w:t xml:space="preserve"> </w:t>
      </w:r>
      <w:r w:rsidRPr="005316C8">
        <w:t xml:space="preserve">martyrdom of the Báb, attempted to kill Náṣiri’d-Dín </w:t>
      </w:r>
      <w:r w:rsidR="002E466A" w:rsidRPr="002E466A">
        <w:rPr>
          <w:u w:val="single"/>
        </w:rPr>
        <w:t>Sh</w:t>
      </w:r>
      <w:r w:rsidR="002E466A" w:rsidRPr="005316C8">
        <w:t>áh</w:t>
      </w:r>
      <w:r w:rsidRPr="005316C8">
        <w:t xml:space="preserve"> with a pistol</w:t>
      </w:r>
      <w:r w:rsidR="000B7B9C">
        <w:t xml:space="preserve"> </w:t>
      </w:r>
      <w:r w:rsidRPr="005316C8">
        <w:t>loaded with birdshot.</w:t>
      </w:r>
      <w:r w:rsidR="00C31222">
        <w:t xml:space="preserve"> </w:t>
      </w:r>
      <w:r w:rsidRPr="005316C8">
        <w:t xml:space="preserve"> This attempt on the </w:t>
      </w:r>
      <w:r w:rsidR="002E466A" w:rsidRPr="002E466A">
        <w:rPr>
          <w:u w:val="single"/>
        </w:rPr>
        <w:t>Sh</w:t>
      </w:r>
      <w:r w:rsidR="002E466A" w:rsidRPr="005316C8">
        <w:t>áh</w:t>
      </w:r>
      <w:r w:rsidRPr="005316C8">
        <w:t>’s life is recounted in detail in</w:t>
      </w:r>
      <w:r w:rsidR="000B7B9C">
        <w:t xml:space="preserve"> </w:t>
      </w:r>
      <w:r w:rsidRPr="005316C8">
        <w:t>all histories of the Bábí Faith, and it is clearly regarded as a vengeful act and</w:t>
      </w:r>
      <w:r w:rsidR="000B7B9C">
        <w:t xml:space="preserve"> </w:t>
      </w:r>
      <w:r w:rsidRPr="005316C8">
        <w:t xml:space="preserve">therefore morally unjustified. </w:t>
      </w:r>
      <w:r w:rsidR="00C31222">
        <w:t xml:space="preserve"> </w:t>
      </w:r>
      <w:r w:rsidRPr="005316C8">
        <w:t>However, it is again interesting to observe the</w:t>
      </w:r>
      <w:r w:rsidR="000B7B9C">
        <w:t xml:space="preserve"> </w:t>
      </w:r>
      <w:r w:rsidRPr="005316C8">
        <w:t>reaction of the state authorities to this crime.</w:t>
      </w:r>
    </w:p>
    <w:p w:rsidR="00357426" w:rsidRPr="005316C8" w:rsidRDefault="00357426" w:rsidP="00357426">
      <w:pPr>
        <w:pStyle w:val="Text"/>
      </w:pPr>
      <w:r w:rsidRPr="005316C8">
        <w:t>Rather than punish only the assailants (who were immediately captured),</w:t>
      </w:r>
      <w:r w:rsidR="000B7B9C">
        <w:t xml:space="preserve"> </w:t>
      </w:r>
      <w:r w:rsidRPr="005316C8">
        <w:t>the government used the incident as a pretext for a nation-wide campaign of</w:t>
      </w:r>
      <w:r w:rsidR="000B7B9C">
        <w:t xml:space="preserve"> </w:t>
      </w:r>
      <w:r w:rsidRPr="005316C8">
        <w:t>indiscriminate slaughter of Bábís even in the remotest corner of the land.</w:t>
      </w:r>
      <w:r w:rsidR="00C31222">
        <w:t xml:space="preserve"> </w:t>
      </w:r>
      <w:r w:rsidRPr="005316C8">
        <w:t xml:space="preserve"> In</w:t>
      </w:r>
      <w:r w:rsidR="000B7B9C">
        <w:t xml:space="preserve"> </w:t>
      </w:r>
      <w:r w:rsidRPr="005316C8">
        <w:t>the government’s own account of its actions we find, among other things:</w:t>
      </w:r>
    </w:p>
    <w:p w:rsidR="00357426" w:rsidRPr="005316C8" w:rsidRDefault="00357426" w:rsidP="00C31222">
      <w:pPr>
        <w:pStyle w:val="Quote"/>
      </w:pPr>
      <w:r w:rsidRPr="005316C8">
        <w:t>Amongst the Bábís who have fallen into the hands of justice, there are six whose</w:t>
      </w:r>
      <w:r w:rsidR="000B7B9C">
        <w:t xml:space="preserve"> </w:t>
      </w:r>
      <w:r w:rsidRPr="005316C8">
        <w:t>culpability not having been well established have been condemned to the galleys</w:t>
      </w:r>
      <w:r w:rsidR="000B7B9C">
        <w:t xml:space="preserve"> </w:t>
      </w:r>
      <w:r w:rsidRPr="005316C8">
        <w:t>for life.</w:t>
      </w:r>
      <w:r w:rsidR="00C31222">
        <w:rPr>
          <w:rStyle w:val="EndnoteReference"/>
        </w:rPr>
        <w:endnoteReference w:id="64"/>
      </w:r>
    </w:p>
    <w:p w:rsidR="00357426" w:rsidRPr="005316C8" w:rsidRDefault="00357426" w:rsidP="00357426">
      <w:pPr>
        <w:pStyle w:val="Text"/>
      </w:pPr>
      <w:r w:rsidRPr="005316C8">
        <w:t>In other words, those who had not the remotest connection with the crime</w:t>
      </w:r>
    </w:p>
    <w:p w:rsidR="008C02BB" w:rsidRDefault="008C02BB">
      <w:pPr>
        <w:rPr>
          <w:rFonts w:eastAsiaTheme="minorHAnsi"/>
          <w:szCs w:val="20"/>
        </w:rPr>
      </w:pPr>
      <w:r>
        <w:br w:type="page"/>
      </w:r>
    </w:p>
    <w:p w:rsidR="00357426" w:rsidRPr="005316C8" w:rsidRDefault="00357426" w:rsidP="00C31222">
      <w:pPr>
        <w:pStyle w:val="Textcts"/>
      </w:pPr>
      <w:r w:rsidRPr="005316C8">
        <w:lastRenderedPageBreak/>
        <w:t>even in the e</w:t>
      </w:r>
      <w:r w:rsidR="00C31222">
        <w:t>y</w:t>
      </w:r>
      <w:r w:rsidRPr="005316C8">
        <w:t>es of the authorities were nonetheless condemned to life in</w:t>
      </w:r>
      <w:r w:rsidR="000B7B9C">
        <w:t xml:space="preserve"> </w:t>
      </w:r>
      <w:r w:rsidRPr="005316C8">
        <w:t xml:space="preserve">prison. </w:t>
      </w:r>
      <w:r w:rsidR="00C31222">
        <w:t xml:space="preserve"> </w:t>
      </w:r>
      <w:r w:rsidRPr="005316C8">
        <w:t>Two Western observers of these events, both non-Bahá’ís, have</w:t>
      </w:r>
      <w:r w:rsidR="000B7B9C">
        <w:t xml:space="preserve"> </w:t>
      </w:r>
      <w:r w:rsidRPr="005316C8">
        <w:t>commented on the government account from which the above statement was</w:t>
      </w:r>
      <w:r w:rsidR="000B7B9C">
        <w:t xml:space="preserve"> </w:t>
      </w:r>
      <w:r w:rsidRPr="005316C8">
        <w:t>drawn:</w:t>
      </w:r>
    </w:p>
    <w:p w:rsidR="00357426" w:rsidRPr="005316C8" w:rsidRDefault="00357426" w:rsidP="00426A8A">
      <w:pPr>
        <w:pStyle w:val="Quote"/>
      </w:pPr>
      <w:r w:rsidRPr="005316C8">
        <w:t>The account, coming from an enemy of the Bábís, tries to show them at their</w:t>
      </w:r>
      <w:r w:rsidR="000B7B9C">
        <w:t xml:space="preserve"> </w:t>
      </w:r>
      <w:r w:rsidRPr="005316C8">
        <w:t>worst, but its naïve admissions only serve to bring out the high ideals and</w:t>
      </w:r>
      <w:r w:rsidR="000B7B9C">
        <w:t xml:space="preserve"> </w:t>
      </w:r>
      <w:r w:rsidRPr="005316C8">
        <w:t>heroism of the Bábí martyrs, and the cold cruelty and bigotry of their</w:t>
      </w:r>
      <w:r w:rsidR="000B7B9C">
        <w:t xml:space="preserve"> </w:t>
      </w:r>
      <w:r w:rsidRPr="005316C8">
        <w:t>persecutors.</w:t>
      </w:r>
      <w:r w:rsidR="00C31222">
        <w:t xml:space="preserve"> </w:t>
      </w:r>
      <w:r w:rsidRPr="005316C8">
        <w:t xml:space="preserve"> The article convicts its authors.</w:t>
      </w:r>
      <w:r w:rsidR="00C31222">
        <w:rPr>
          <w:rStyle w:val="EndnoteReference"/>
        </w:rPr>
        <w:endnoteReference w:id="65"/>
      </w:r>
    </w:p>
    <w:p w:rsidR="00357426" w:rsidRPr="005316C8" w:rsidRDefault="00357426" w:rsidP="000B7B9C">
      <w:pPr>
        <w:pStyle w:val="Text"/>
      </w:pPr>
      <w:r w:rsidRPr="005316C8">
        <w:t>As we are, even in our times, reliving in Írán some of the same horror, the</w:t>
      </w:r>
      <w:r w:rsidR="000B7B9C">
        <w:t xml:space="preserve"> </w:t>
      </w:r>
      <w:r w:rsidRPr="005316C8">
        <w:t>same self-convicting ‘cold cruelty and bigotry’, we can see that the need for</w:t>
      </w:r>
      <w:r w:rsidR="000B7B9C">
        <w:t xml:space="preserve"> </w:t>
      </w:r>
      <w:r w:rsidRPr="005316C8">
        <w:t>accurate, fair-minded and balanced scholarship of the history of the Bábí and</w:t>
      </w:r>
      <w:r w:rsidR="000B7B9C">
        <w:t xml:space="preserve"> </w:t>
      </w:r>
      <w:r w:rsidRPr="005316C8">
        <w:t>Bahá’í Faiths continues to make itself acutely felt.</w:t>
      </w:r>
    </w:p>
    <w:p w:rsidR="00C31222" w:rsidRDefault="00C31222" w:rsidP="008C02BB">
      <w:pPr>
        <w:pStyle w:val="Myhead"/>
        <w:sectPr w:rsidR="00C31222" w:rsidSect="00BF3734">
          <w:footerReference w:type="default" r:id="rId10"/>
          <w:footerReference w:type="first" r:id="rId11"/>
          <w:footnotePr>
            <w:numFmt w:val="chicago"/>
            <w:numRestart w:val="eachPage"/>
          </w:footnotePr>
          <w:endnotePr>
            <w:numFmt w:val="decimal"/>
          </w:endnotePr>
          <w:pgSz w:w="8618" w:h="12984" w:code="11"/>
          <w:pgMar w:top="567" w:right="720" w:bottom="567" w:left="720" w:header="720" w:footer="567" w:gutter="0"/>
          <w:pgNumType w:start="29"/>
          <w:cols w:space="708"/>
          <w:titlePg/>
          <w:docGrid w:linePitch="272"/>
        </w:sectPr>
      </w:pPr>
    </w:p>
    <w:p w:rsidR="00BF3734" w:rsidRDefault="00BF3734" w:rsidP="00357426"/>
    <w:p w:rsidR="00357426" w:rsidRDefault="00BF3734" w:rsidP="000B7B9C">
      <w:r w:rsidRPr="00BF3734">
        <w:rPr>
          <w:b/>
          <w:bCs/>
        </w:rPr>
        <w:t>Muḥammad Afnán</w:t>
      </w:r>
      <w:r w:rsidRPr="005316C8">
        <w:t xml:space="preserve"> </w:t>
      </w:r>
      <w:r w:rsidR="00357426" w:rsidRPr="005316C8">
        <w:t>is a specialist in clinical bacteriology and infectious</w:t>
      </w:r>
      <w:r w:rsidR="000B7B9C">
        <w:t xml:space="preserve"> </w:t>
      </w:r>
      <w:r w:rsidR="00357426" w:rsidRPr="005316C8">
        <w:t>diseases which he taught for twenty years as a Professor at Tehran University</w:t>
      </w:r>
      <w:r w:rsidR="000B7B9C">
        <w:t xml:space="preserve"> </w:t>
      </w:r>
      <w:r w:rsidR="00357426" w:rsidRPr="005316C8">
        <w:t xml:space="preserve">in Iran. </w:t>
      </w:r>
      <w:r>
        <w:t xml:space="preserve"> </w:t>
      </w:r>
      <w:r w:rsidR="00357426" w:rsidRPr="005316C8">
        <w:t>He is currently engaged in medical research in that field at McMaster</w:t>
      </w:r>
      <w:r w:rsidR="000B7B9C">
        <w:t xml:space="preserve"> </w:t>
      </w:r>
      <w:r w:rsidR="00357426" w:rsidRPr="005316C8">
        <w:t xml:space="preserve">University in Hamilton, Ontario, Canada. </w:t>
      </w:r>
      <w:r>
        <w:t xml:space="preserve"> </w:t>
      </w:r>
      <w:r w:rsidR="00357426" w:rsidRPr="005316C8">
        <w:t>For over thirty years he has been a</w:t>
      </w:r>
      <w:r w:rsidR="000B7B9C">
        <w:t xml:space="preserve"> </w:t>
      </w:r>
      <w:r w:rsidR="00357426" w:rsidRPr="005316C8">
        <w:t xml:space="preserve">student of the writings and history of the Bábí and Bahá’í Faiths. </w:t>
      </w:r>
      <w:r>
        <w:t xml:space="preserve"> </w:t>
      </w:r>
      <w:r w:rsidR="00357426" w:rsidRPr="005316C8">
        <w:t>In particular,</w:t>
      </w:r>
      <w:r w:rsidR="000B7B9C">
        <w:t xml:space="preserve"> </w:t>
      </w:r>
      <w:r w:rsidR="00357426" w:rsidRPr="005316C8">
        <w:t>he has made careful studies of a number of original Bábí and Bahá’í manuscripts and has contributed numerous papers on his research to Persian</w:t>
      </w:r>
      <w:r w:rsidR="000B7B9C">
        <w:t xml:space="preserve"> </w:t>
      </w:r>
      <w:r w:rsidR="00357426" w:rsidRPr="005316C8">
        <w:t>language Bahá’í publications.</w:t>
      </w:r>
    </w:p>
    <w:p w:rsidR="00BF3734" w:rsidRPr="005316C8" w:rsidRDefault="00BF3734" w:rsidP="00BF3734"/>
    <w:p w:rsidR="00BF3734" w:rsidRDefault="00BF3734" w:rsidP="00BF3734">
      <w:r w:rsidRPr="00BF3734">
        <w:rPr>
          <w:b/>
          <w:bCs/>
        </w:rPr>
        <w:t>William S. Hatcher</w:t>
      </w:r>
      <w:r w:rsidRPr="005316C8">
        <w:t xml:space="preserve"> </w:t>
      </w:r>
      <w:r w:rsidR="00357426" w:rsidRPr="005316C8">
        <w:t>is Professor of Mathematics at Université Laval in</w:t>
      </w:r>
      <w:r w:rsidR="000B7B9C">
        <w:t xml:space="preserve"> </w:t>
      </w:r>
      <w:r w:rsidR="00357426" w:rsidRPr="005316C8">
        <w:t xml:space="preserve">Quebec, Canada. </w:t>
      </w:r>
      <w:r>
        <w:t xml:space="preserve"> </w:t>
      </w:r>
      <w:r w:rsidR="00357426" w:rsidRPr="005316C8">
        <w:t>He has done research and published books and articles in</w:t>
      </w:r>
      <w:r w:rsidR="000B7B9C">
        <w:t xml:space="preserve"> </w:t>
      </w:r>
      <w:r w:rsidR="00357426" w:rsidRPr="005316C8">
        <w:t xml:space="preserve">the mathematical sciences, logic, and philosophy. </w:t>
      </w:r>
      <w:r>
        <w:t xml:space="preserve"> </w:t>
      </w:r>
      <w:r w:rsidR="00357426" w:rsidRPr="005316C8">
        <w:t>He is especially interested in</w:t>
      </w:r>
      <w:r w:rsidR="000B7B9C">
        <w:t xml:space="preserve"> </w:t>
      </w:r>
      <w:r w:rsidR="00357426" w:rsidRPr="005316C8">
        <w:t>the philosophy of religion and science and in the foundations and philosophy</w:t>
      </w:r>
      <w:r w:rsidR="000B7B9C">
        <w:t xml:space="preserve"> </w:t>
      </w:r>
      <w:r w:rsidR="00357426" w:rsidRPr="005316C8">
        <w:t xml:space="preserve">of mathematics. </w:t>
      </w:r>
      <w:r>
        <w:t xml:space="preserve"> </w:t>
      </w:r>
      <w:r w:rsidR="00357426" w:rsidRPr="005316C8">
        <w:t xml:space="preserve">He has most recently published </w:t>
      </w:r>
      <w:r w:rsidR="00357426" w:rsidRPr="00BF3734">
        <w:rPr>
          <w:i/>
          <w:iCs/>
        </w:rPr>
        <w:t>The Logical Foundations of</w:t>
      </w:r>
      <w:r w:rsidR="000B7B9C">
        <w:rPr>
          <w:i/>
          <w:iCs/>
        </w:rPr>
        <w:t xml:space="preserve"> </w:t>
      </w:r>
      <w:r w:rsidR="00357426" w:rsidRPr="00BF3734">
        <w:rPr>
          <w:i/>
          <w:iCs/>
        </w:rPr>
        <w:t>Mathematics</w:t>
      </w:r>
      <w:r w:rsidR="00357426" w:rsidRPr="005316C8">
        <w:t xml:space="preserve">, Pergamon Press, Oxford, 1982 as well as </w:t>
      </w:r>
      <w:r w:rsidR="00357426" w:rsidRPr="00BF3734">
        <w:rPr>
          <w:i/>
          <w:iCs/>
        </w:rPr>
        <w:t>The Bahá’í Faith</w:t>
      </w:r>
      <w:r w:rsidR="00357426" w:rsidRPr="005316C8">
        <w:t>,</w:t>
      </w:r>
      <w:r w:rsidR="000B7B9C">
        <w:t xml:space="preserve"> </w:t>
      </w:r>
      <w:r w:rsidR="00357426" w:rsidRPr="005316C8">
        <w:t>Harper &amp; Row, San Francisco 1985, co-authored with Douglas Martin.</w:t>
      </w:r>
    </w:p>
    <w:p w:rsidR="00BF3734" w:rsidRDefault="00BF3734" w:rsidP="00BF3734"/>
    <w:p w:rsidR="00357426" w:rsidRPr="00BF3734" w:rsidRDefault="00357426" w:rsidP="00BF3734">
      <w:pPr>
        <w:rPr>
          <w:i/>
          <w:iCs/>
          <w:lang w:val="fr-FR"/>
        </w:rPr>
      </w:pPr>
      <w:r w:rsidRPr="00BF3734">
        <w:rPr>
          <w:i/>
          <w:iCs/>
          <w:lang w:val="fr-FR"/>
        </w:rPr>
        <w:t>Université Laval, Faculté des Sciences et de Génie, Cité universitaire, Québec,</w:t>
      </w:r>
      <w:r w:rsidR="000B7B9C">
        <w:rPr>
          <w:i/>
          <w:iCs/>
          <w:lang w:val="fr-FR"/>
        </w:rPr>
        <w:t xml:space="preserve"> </w:t>
      </w:r>
      <w:r w:rsidRPr="00BF3734">
        <w:rPr>
          <w:i/>
          <w:iCs/>
          <w:lang w:val="fr-FR"/>
        </w:rPr>
        <w:t>P.Q. Canada G1K 7P4</w:t>
      </w:r>
    </w:p>
    <w:p w:rsidR="00637BA5" w:rsidRPr="00B76AD7" w:rsidRDefault="00637BA5" w:rsidP="001827E3">
      <w:pPr>
        <w:rPr>
          <w:lang w:val="fr-FR"/>
        </w:rPr>
      </w:pPr>
    </w:p>
    <w:sectPr w:rsidR="00637BA5" w:rsidRPr="00B76AD7" w:rsidSect="00BF3734">
      <w:footnotePr>
        <w:numFmt w:val="chicago"/>
        <w:numRestart w:val="eachPage"/>
      </w:footnotePr>
      <w:endnotePr>
        <w:numFmt w:val="decimal"/>
      </w:endnotePr>
      <w:type w:val="continuous"/>
      <w:pgSz w:w="8618" w:h="12984" w:code="11"/>
      <w:pgMar w:top="567" w:right="720" w:bottom="567" w:left="720" w:header="720" w:footer="567" w:gutter="0"/>
      <w:pgNumType w:start="29"/>
      <w:cols w:space="708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20-03-19T11:37:00Z" w:initials="M">
    <w:p w:rsidR="00801B9E" w:rsidRDefault="00801B9E" w:rsidP="00801B9E">
      <w:pPr>
        <w:pStyle w:val="CommentText"/>
      </w:pPr>
      <w:r>
        <w:rPr>
          <w:rStyle w:val="CommentReference"/>
        </w:rPr>
        <w:annotationRef/>
      </w:r>
      <w:r>
        <w:t>Minor errors fixed.  Some hybrid “words” have been corrected, but not hybrid “plurals”.</w:t>
      </w:r>
    </w:p>
  </w:comment>
  <w:comment w:id="2" w:author="Michael" w:date="2020-03-19T11:36:00Z" w:initials="M">
    <w:p w:rsidR="007031B1" w:rsidRDefault="007031B1" w:rsidP="00801B9E">
      <w:pPr>
        <w:pStyle w:val="CommentText"/>
      </w:pPr>
      <w:r>
        <w:rPr>
          <w:rStyle w:val="CommentReference"/>
        </w:rPr>
        <w:annotationRef/>
      </w:r>
      <w:r w:rsidR="00801B9E">
        <w:t xml:space="preserve">Endnote:  </w:t>
      </w:r>
      <w:r w:rsidRPr="007031B1">
        <w:t>Fáṭimih Ḥaqíqatjú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C9" w:rsidRDefault="009924C9" w:rsidP="00E41271">
      <w:r>
        <w:separator/>
      </w:r>
    </w:p>
  </w:endnote>
  <w:endnote w:type="continuationSeparator" w:id="0">
    <w:p w:rsidR="009924C9" w:rsidRDefault="009924C9" w:rsidP="00E41271">
      <w:r>
        <w:continuationSeparator/>
      </w:r>
    </w:p>
  </w:endnote>
  <w:endnote w:id="1">
    <w:p w:rsidR="00BF3734" w:rsidRDefault="00BF3734" w:rsidP="00BF3734">
      <w:pPr>
        <w:pStyle w:val="EndnoteTextHead"/>
      </w:pPr>
      <w:r w:rsidRPr="00BF3734">
        <w:rPr>
          <w:rStyle w:val="EndnoteReference"/>
          <w:color w:val="FFFFFF" w:themeColor="background1"/>
        </w:rPr>
        <w:t>.</w:t>
      </w:r>
      <w:r w:rsidRPr="008C02BB">
        <w:t>Notes</w:t>
      </w:r>
    </w:p>
  </w:endnote>
  <w:endnote w:id="2">
    <w:p w:rsidR="00B76AD7" w:rsidRDefault="00B76AD7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Denis MacEoin, ‘Oriental Scholarship and the Bahá’í Faith, </w:t>
      </w:r>
      <w:r w:rsidRPr="00B76AD7">
        <w:rPr>
          <w:i/>
          <w:iCs/>
        </w:rPr>
        <w:t>World Order</w:t>
      </w:r>
      <w:r w:rsidRPr="005316C8">
        <w:t>.</w:t>
      </w:r>
      <w:r>
        <w:t xml:space="preserve"> </w:t>
      </w:r>
      <w:r w:rsidRPr="005316C8">
        <w:t xml:space="preserve"> 8:4</w:t>
      </w:r>
      <w:r w:rsidR="000B7B9C">
        <w:t xml:space="preserve"> </w:t>
      </w:r>
      <w:r w:rsidRPr="005316C8">
        <w:t>(1974), pp. 9–21.</w:t>
      </w:r>
    </w:p>
  </w:endnote>
  <w:endnote w:id="3">
    <w:p w:rsidR="00B76AD7" w:rsidRDefault="00B76AD7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H. M. Balyuzi, </w:t>
      </w:r>
      <w:r w:rsidRPr="00B76AD7">
        <w:rPr>
          <w:i/>
          <w:iCs/>
        </w:rPr>
        <w:t>Edward Granville Browne and the Bahá’í Faith</w:t>
      </w:r>
      <w:r w:rsidRPr="005316C8">
        <w:t>, George Ronald,</w:t>
      </w:r>
      <w:r w:rsidR="000B7B9C">
        <w:t xml:space="preserve"> </w:t>
      </w:r>
      <w:r w:rsidRPr="005316C8">
        <w:t>Oxford 1970.</w:t>
      </w:r>
    </w:p>
  </w:endnote>
  <w:endnote w:id="4">
    <w:p w:rsidR="00B76AD7" w:rsidRDefault="00B76AD7" w:rsidP="00B76AD7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Nabíl-i-A‘ẓam, </w:t>
      </w:r>
      <w:r w:rsidRPr="00B76AD7">
        <w:rPr>
          <w:i/>
          <w:iCs/>
        </w:rPr>
        <w:t>The Dawn-Breakers</w:t>
      </w:r>
      <w:r w:rsidRPr="005316C8">
        <w:t>, Bahá’í Publishing Trust, Wilmette, Illinois</w:t>
      </w:r>
      <w:r w:rsidR="000B7B9C">
        <w:t xml:space="preserve"> </w:t>
      </w:r>
      <w:r w:rsidRPr="005316C8">
        <w:t>1932 tr. Shoghi Effendi.</w:t>
      </w:r>
    </w:p>
  </w:endnote>
  <w:endnote w:id="5">
    <w:p w:rsidR="00B76AD7" w:rsidRPr="008C02BB" w:rsidRDefault="00B76AD7">
      <w:pPr>
        <w:pStyle w:val="EndnoteText"/>
      </w:pPr>
      <w:r>
        <w:rPr>
          <w:rStyle w:val="EndnoteReference"/>
        </w:rPr>
        <w:endnoteRef/>
      </w:r>
      <w:r w:rsidRPr="008C02BB">
        <w:tab/>
      </w:r>
      <w:r w:rsidRPr="008C02BB">
        <w:rPr>
          <w:i/>
          <w:iCs/>
        </w:rPr>
        <w:t>Encyclopaedia Iranica</w:t>
      </w:r>
      <w:r w:rsidRPr="008C02BB">
        <w:t>, ed. Ehsan Yarshater, 1:1, pp. 103–104.</w:t>
      </w:r>
    </w:p>
  </w:endnote>
  <w:endnote w:id="6">
    <w:p w:rsidR="007031B1" w:rsidRDefault="007031B1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t>Haghighatpejooh</w:t>
      </w:r>
      <w:r w:rsidRPr="005316C8">
        <w:t xml:space="preserve">, “An Answer to the Misunderstandings and Misrepresentations in the Article in the </w:t>
      </w:r>
      <w:r w:rsidRPr="007031B1">
        <w:rPr>
          <w:i/>
          <w:iCs/>
        </w:rPr>
        <w:t>Encyclopaedia Iranica</w:t>
      </w:r>
      <w:r w:rsidRPr="005316C8">
        <w:t xml:space="preserve"> on the Teachings of ‘Abdu’l-Bahá”, </w:t>
      </w:r>
      <w:r w:rsidRPr="007031B1">
        <w:rPr>
          <w:i/>
          <w:iCs/>
        </w:rPr>
        <w:t>‘Andalíb</w:t>
      </w:r>
      <w:r w:rsidRPr="005316C8">
        <w:t>, 2:5 (1983), pp. 27–41.</w:t>
      </w:r>
    </w:p>
  </w:endnote>
  <w:endnote w:id="7">
    <w:p w:rsidR="007031B1" w:rsidRDefault="007031B1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Since MacEoin knows both Persian and Arabic, his ignorance of these works of Bahá’u’lláh cannot be related to the fact that some of them have not yet been</w:t>
      </w:r>
      <w:r w:rsidR="000B7B9C">
        <w:t xml:space="preserve"> </w:t>
      </w:r>
      <w:r w:rsidRPr="005316C8">
        <w:t xml:space="preserve">translated into Western languages. </w:t>
      </w:r>
      <w:r>
        <w:t xml:space="preserve"> </w:t>
      </w:r>
      <w:r w:rsidRPr="005316C8">
        <w:t>Indeed, even though the works of Bahá’u’lláh</w:t>
      </w:r>
      <w:r w:rsidR="000B7B9C">
        <w:t xml:space="preserve"> </w:t>
      </w:r>
      <w:r w:rsidRPr="005316C8">
        <w:t>currently published in English comprise about two thousand pages, there are at</w:t>
      </w:r>
      <w:r w:rsidR="000B7B9C">
        <w:t xml:space="preserve"> </w:t>
      </w:r>
      <w:r w:rsidRPr="005316C8">
        <w:t xml:space="preserve">least forty thousand manuscript pages of his writings which have not </w:t>
      </w:r>
      <w:r>
        <w:t>y</w:t>
      </w:r>
      <w:r w:rsidRPr="005316C8">
        <w:t>et been</w:t>
      </w:r>
      <w:r w:rsidR="000B7B9C">
        <w:t xml:space="preserve"> </w:t>
      </w:r>
      <w:r w:rsidRPr="005316C8">
        <w:t>translated or published in any Western language.</w:t>
      </w:r>
    </w:p>
  </w:endnote>
  <w:endnote w:id="8">
    <w:p w:rsidR="007031B1" w:rsidRDefault="007031B1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Denis MacEoin, ‘The Bábí Concept of Holy War’, </w:t>
      </w:r>
      <w:r w:rsidRPr="007031B1">
        <w:rPr>
          <w:i/>
          <w:iCs/>
        </w:rPr>
        <w:t>Religion</w:t>
      </w:r>
      <w:r w:rsidRPr="005316C8">
        <w:t>, 12 (1982). pp. 93</w:t>
      </w:r>
      <w:r>
        <w:t>–</w:t>
      </w:r>
      <w:r w:rsidRPr="005316C8">
        <w:t>129.</w:t>
      </w:r>
    </w:p>
  </w:endnote>
  <w:endnote w:id="9">
    <w:p w:rsidR="007031B1" w:rsidRDefault="007031B1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Denis MacEoin, </w:t>
      </w:r>
      <w:r w:rsidRPr="007031B1">
        <w:rPr>
          <w:i/>
          <w:iCs/>
        </w:rPr>
        <w:t>Religion</w:t>
      </w:r>
      <w:r w:rsidRPr="005316C8">
        <w:t>, 12 (1982), pp. 405–408.</w:t>
      </w:r>
    </w:p>
  </w:endnote>
  <w:endnote w:id="10">
    <w:p w:rsidR="007031B1" w:rsidRDefault="007031B1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Moojan Momen (ed.), </w:t>
      </w:r>
      <w:r w:rsidRPr="007031B1">
        <w:rPr>
          <w:i/>
          <w:iCs/>
        </w:rPr>
        <w:t>The Bábí and Bahá’í Religions, 1844–1944.</w:t>
      </w:r>
      <w:r>
        <w:rPr>
          <w:i/>
          <w:iCs/>
        </w:rPr>
        <w:t xml:space="preserve"> </w:t>
      </w:r>
      <w:r w:rsidRPr="007031B1">
        <w:rPr>
          <w:i/>
          <w:iCs/>
        </w:rPr>
        <w:t xml:space="preserve"> Some</w:t>
      </w:r>
      <w:r w:rsidR="000B7B9C">
        <w:rPr>
          <w:i/>
          <w:iCs/>
        </w:rPr>
        <w:t xml:space="preserve"> </w:t>
      </w:r>
      <w:r w:rsidRPr="007031B1">
        <w:rPr>
          <w:i/>
          <w:iCs/>
        </w:rPr>
        <w:t>Contemporary Western Accounts</w:t>
      </w:r>
      <w:r w:rsidRPr="005316C8">
        <w:t xml:space="preserve">, George Ronald, Oxford 1981. </w:t>
      </w:r>
      <w:r>
        <w:t xml:space="preserve"> </w:t>
      </w:r>
      <w:r w:rsidRPr="005316C8">
        <w:t>Henceforth</w:t>
      </w:r>
      <w:r w:rsidR="000B7B9C">
        <w:t xml:space="preserve"> </w:t>
      </w:r>
      <w:r w:rsidRPr="005316C8">
        <w:t>referred to as Momen 1981.</w:t>
      </w:r>
    </w:p>
  </w:endnote>
  <w:endnote w:id="11">
    <w:p w:rsidR="007031B1" w:rsidRDefault="007031B1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It is interesting to note that this collaboration would certainly not have taken</w:t>
      </w:r>
      <w:r w:rsidR="000B7B9C">
        <w:t xml:space="preserve"> </w:t>
      </w:r>
      <w:r w:rsidRPr="005316C8">
        <w:t>place were it not for the most unfortunate recent outbreak of extreme persecution</w:t>
      </w:r>
      <w:r w:rsidR="000B7B9C">
        <w:t xml:space="preserve"> </w:t>
      </w:r>
      <w:r w:rsidRPr="005316C8">
        <w:t>of the Bahá’í Faith in Írán which has led to the exodus of a number of</w:t>
      </w:r>
      <w:r w:rsidR="000B7B9C">
        <w:t xml:space="preserve"> </w:t>
      </w:r>
      <w:r w:rsidRPr="005316C8">
        <w:t xml:space="preserve">intellectuals to the West. </w:t>
      </w:r>
      <w:r>
        <w:t xml:space="preserve"> </w:t>
      </w:r>
      <w:r w:rsidRPr="005316C8">
        <w:t>Perhaps, then, the tragic events in Írán will lead</w:t>
      </w:r>
      <w:r w:rsidR="000B7B9C">
        <w:t xml:space="preserve"> </w:t>
      </w:r>
      <w:r w:rsidRPr="005316C8">
        <w:t xml:space="preserve">ultimately to a number of fruitful scholarly endeavours in Bahá’í studies. </w:t>
      </w:r>
      <w:r>
        <w:t xml:space="preserve"> </w:t>
      </w:r>
      <w:r w:rsidRPr="005316C8">
        <w:t>It is the</w:t>
      </w:r>
      <w:r w:rsidR="000B7B9C">
        <w:t xml:space="preserve"> </w:t>
      </w:r>
      <w:r w:rsidRPr="005316C8">
        <w:t>hope and prayer of the present writers that our effort will contribute in some</w:t>
      </w:r>
      <w:r w:rsidR="000B7B9C">
        <w:t xml:space="preserve"> </w:t>
      </w:r>
      <w:r w:rsidRPr="005316C8">
        <w:t>small measure to such a consummation.</w:t>
      </w:r>
    </w:p>
  </w:endnote>
  <w:endnote w:id="12">
    <w:p w:rsidR="007031B1" w:rsidRDefault="007031B1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Introduction to </w:t>
      </w:r>
      <w:r w:rsidRPr="007031B1">
        <w:rPr>
          <w:i/>
          <w:iCs/>
        </w:rPr>
        <w:t>The Dawn-Breakers</w:t>
      </w:r>
      <w:r w:rsidRPr="005316C8">
        <w:t>, op. cit., p. xxxiv.</w:t>
      </w:r>
    </w:p>
  </w:endnote>
  <w:endnote w:id="13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>, p. 94</w:t>
      </w:r>
      <w:r>
        <w:t>.</w:t>
      </w:r>
    </w:p>
  </w:endnote>
  <w:endnote w:id="14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 xml:space="preserve">bid. </w:t>
      </w:r>
      <w:r>
        <w:t xml:space="preserve"> </w:t>
      </w:r>
      <w:r w:rsidRPr="005316C8">
        <w:t>It is curious that MacEoin, writing for a general audience, never states here</w:t>
      </w:r>
      <w:r w:rsidR="000B7B9C">
        <w:t xml:space="preserve"> </w:t>
      </w:r>
      <w:r w:rsidRPr="005316C8">
        <w:t>or elsewhere in the article just what this ‘most distinctive feature of early Bahá’í</w:t>
      </w:r>
      <w:r w:rsidR="000B7B9C">
        <w:t xml:space="preserve"> </w:t>
      </w:r>
      <w:r w:rsidRPr="005316C8">
        <w:t xml:space="preserve">doctrine’ is. </w:t>
      </w:r>
      <w:r>
        <w:t xml:space="preserve"> </w:t>
      </w:r>
      <w:r w:rsidRPr="005316C8">
        <w:t>Presumably he is alluding to Bahá’u’lláh’s clear and unequivocal</w:t>
      </w:r>
      <w:r w:rsidR="000B7B9C">
        <w:t xml:space="preserve"> </w:t>
      </w:r>
      <w:r w:rsidRPr="005316C8">
        <w:t>teachings that his followers not become involved in political movements and</w:t>
      </w:r>
      <w:r w:rsidR="000B7B9C">
        <w:t xml:space="preserve"> </w:t>
      </w:r>
      <w:r w:rsidRPr="005316C8">
        <w:t>power struggles, as well as his firm injunction that ‘it is better to be killed than to</w:t>
      </w:r>
      <w:r w:rsidR="000B7B9C">
        <w:t xml:space="preserve"> </w:t>
      </w:r>
      <w:r w:rsidRPr="005316C8">
        <w:t xml:space="preserve">kill’. (cf. </w:t>
      </w:r>
      <w:r w:rsidRPr="002E466A">
        <w:rPr>
          <w:i/>
          <w:iCs/>
        </w:rPr>
        <w:t>The Dawn-Breakers</w:t>
      </w:r>
      <w:r w:rsidRPr="005316C8">
        <w:t>, op. cit., p. xxxv.)</w:t>
      </w:r>
    </w:p>
  </w:endnote>
  <w:endnote w:id="15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The </w:t>
      </w:r>
      <w:r w:rsidRPr="002E466A">
        <w:rPr>
          <w:i/>
          <w:iCs/>
        </w:rPr>
        <w:t>Qayyúmu’l-Asmá’</w:t>
      </w:r>
      <w:r w:rsidRPr="005316C8">
        <w:t xml:space="preserve"> was written by the Báb in 1844. (cf. ibid., p. 61.)</w:t>
      </w:r>
    </w:p>
  </w:endnote>
  <w:endnote w:id="16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>, p. 121.</w:t>
      </w:r>
    </w:p>
  </w:endnote>
  <w:endnote w:id="17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94.</w:t>
      </w:r>
    </w:p>
  </w:endnote>
  <w:endnote w:id="18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120.</w:t>
      </w:r>
    </w:p>
  </w:endnote>
  <w:endnote w:id="19">
    <w:p w:rsidR="002E466A" w:rsidRDefault="002E466A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That such was not their attitude is attested by numerous eyewitness accounts.</w:t>
      </w:r>
      <w:r w:rsidR="000B7B9C">
        <w:t xml:space="preserve">  </w:t>
      </w:r>
      <w:r w:rsidRPr="005316C8">
        <w:t xml:space="preserve">For example. </w:t>
      </w:r>
      <w:r>
        <w:t xml:space="preserve"> </w:t>
      </w:r>
      <w:r w:rsidRPr="005316C8">
        <w:t>Vaḥíd, the leader of the Bábís at Nayríz, said to his fellow Bábís</w:t>
      </w:r>
      <w:r w:rsidR="000B7B9C">
        <w:t xml:space="preserve"> </w:t>
      </w:r>
      <w:r w:rsidRPr="005316C8">
        <w:t xml:space="preserve">regarding their Muslim opponents:  ‘This very sword that lies before me </w:t>
      </w:r>
      <w:r>
        <w:t>…</w:t>
      </w:r>
      <w:r w:rsidRPr="005316C8">
        <w:t xml:space="preserve"> was</w:t>
      </w:r>
      <w:r w:rsidR="000B7B9C">
        <w:t xml:space="preserve"> </w:t>
      </w:r>
      <w:r w:rsidRPr="005316C8">
        <w:t>given me by the Qá’im Himself.</w:t>
      </w:r>
      <w:r>
        <w:t xml:space="preserve"> </w:t>
      </w:r>
      <w:r w:rsidRPr="005316C8">
        <w:t xml:space="preserve"> God knows, had I been authorised by Him to</w:t>
      </w:r>
      <w:r w:rsidR="000B7B9C">
        <w:t xml:space="preserve"> </w:t>
      </w:r>
      <w:r w:rsidRPr="005316C8">
        <w:t>wage holy warfare against this people, I would, alone and unaided, have</w:t>
      </w:r>
      <w:r w:rsidR="000B7B9C">
        <w:t xml:space="preserve"> </w:t>
      </w:r>
      <w:r w:rsidRPr="005316C8">
        <w:t>annihilated their forces.</w:t>
      </w:r>
      <w:r>
        <w:t xml:space="preserve"> </w:t>
      </w:r>
      <w:r w:rsidRPr="005316C8">
        <w:t xml:space="preserve"> I am, however, commended to refrain from such an act.’</w:t>
      </w:r>
      <w:r w:rsidR="000B7B9C">
        <w:t xml:space="preserve"> </w:t>
      </w:r>
      <w:r w:rsidRPr="005316C8">
        <w:t xml:space="preserve">(cf. </w:t>
      </w:r>
      <w:r w:rsidRPr="002E466A">
        <w:rPr>
          <w:i/>
          <w:iCs/>
        </w:rPr>
        <w:t>The Dawn-Breakers</w:t>
      </w:r>
      <w:r w:rsidRPr="005316C8">
        <w:t>, op. cit., p. 469.)</w:t>
      </w:r>
    </w:p>
  </w:endnote>
  <w:endnote w:id="20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>, p. 121.</w:t>
      </w:r>
    </w:p>
  </w:endnote>
  <w:endnote w:id="21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In our discussion below, we will attempt to see how the references to </w:t>
      </w:r>
      <w:r w:rsidRPr="007031B1">
        <w:rPr>
          <w:i/>
          <w:iCs/>
        </w:rPr>
        <w:t>jihád</w:t>
      </w:r>
      <w:r w:rsidRPr="005316C8">
        <w:t xml:space="preserve"> in the</w:t>
      </w:r>
      <w:r w:rsidR="000B7B9C">
        <w:t xml:space="preserve"> </w:t>
      </w:r>
      <w:r w:rsidRPr="005316C8">
        <w:t>writings of the Báb can be interpreted in a way which is consistent with the</w:t>
      </w:r>
      <w:r w:rsidR="000B7B9C">
        <w:t xml:space="preserve"> </w:t>
      </w:r>
      <w:r w:rsidRPr="005316C8">
        <w:t>attitudes and actions of his followers.</w:t>
      </w:r>
    </w:p>
  </w:endnote>
  <w:endnote w:id="22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 xml:space="preserve"> p. 93.</w:t>
      </w:r>
    </w:p>
  </w:endnote>
  <w:endnote w:id="23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Some of these terms are:  Remembrance, Remembrance of God, Greatest</w:t>
      </w:r>
      <w:r w:rsidR="000B7B9C">
        <w:t xml:space="preserve"> </w:t>
      </w:r>
      <w:r w:rsidRPr="005316C8">
        <w:t>Remembrance, the Gate of God, the Word, the Mighty Word, Qá’im of the</w:t>
      </w:r>
      <w:r w:rsidR="000B7B9C">
        <w:t xml:space="preserve"> </w:t>
      </w:r>
      <w:r w:rsidRPr="005316C8">
        <w:t>(year) One Thousand, Cupbearer at God’s Bidding, the Blessed Tree in Sinai,</w:t>
      </w:r>
      <w:r w:rsidR="000B7B9C">
        <w:t xml:space="preserve"> </w:t>
      </w:r>
      <w:r w:rsidRPr="005316C8">
        <w:t>the Greatest Hour, the Resurrection, the Promised One, the Awaited Qá’im, the</w:t>
      </w:r>
      <w:r w:rsidR="000B7B9C">
        <w:t xml:space="preserve"> </w:t>
      </w:r>
      <w:r w:rsidRPr="005316C8">
        <w:t xml:space="preserve">Greatest Announcement, the Greatest Sign, One Who Warns, etc. </w:t>
      </w:r>
      <w:r>
        <w:t xml:space="preserve"> </w:t>
      </w:r>
      <w:r w:rsidRPr="005316C8">
        <w:t>It is perhaps</w:t>
      </w:r>
      <w:r w:rsidR="000B7B9C">
        <w:t xml:space="preserve"> </w:t>
      </w:r>
      <w:r w:rsidRPr="005316C8">
        <w:t>unnecessary to engage a detailed discussion of the background of each of these</w:t>
      </w:r>
      <w:r w:rsidR="000B7B9C">
        <w:t xml:space="preserve"> </w:t>
      </w:r>
      <w:r w:rsidRPr="005316C8">
        <w:t>names and titles, but a few of them are treated in more detail in our discussion</w:t>
      </w:r>
      <w:r w:rsidR="000B7B9C">
        <w:t xml:space="preserve"> </w:t>
      </w:r>
      <w:r w:rsidRPr="005316C8">
        <w:t>below.</w:t>
      </w:r>
    </w:p>
  </w:endnote>
  <w:endnote w:id="24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Our main source for this is Nabíl-i-A‘ẓam, op. cit.</w:t>
      </w:r>
      <w:r>
        <w:t xml:space="preserve"> </w:t>
      </w:r>
      <w:r w:rsidRPr="005316C8">
        <w:t xml:space="preserve"> Momen 1981 is also a useful</w:t>
      </w:r>
      <w:r w:rsidR="000B7B9C">
        <w:t xml:space="preserve"> </w:t>
      </w:r>
      <w:r w:rsidRPr="005316C8">
        <w:t>reference, as well as Moojan Momen, “The Trial of Mullá ‘Alí Basṭámí:  A</w:t>
      </w:r>
      <w:r w:rsidR="000B7B9C">
        <w:t xml:space="preserve"> </w:t>
      </w:r>
      <w:r w:rsidRPr="005316C8">
        <w:t>Combined Sunní-</w:t>
      </w:r>
      <w:r w:rsidRPr="002E466A">
        <w:rPr>
          <w:u w:val="single"/>
        </w:rPr>
        <w:t>Sh</w:t>
      </w:r>
      <w:r w:rsidRPr="005316C8">
        <w:t xml:space="preserve">í‘í Fatwá against the Báb”, </w:t>
      </w:r>
      <w:r w:rsidRPr="002E466A">
        <w:rPr>
          <w:i/>
          <w:iCs/>
        </w:rPr>
        <w:t>Journal of Persian Studies</w:t>
      </w:r>
      <w:r w:rsidRPr="005316C8">
        <w:t>, 20</w:t>
      </w:r>
      <w:r w:rsidR="000B7B9C">
        <w:t xml:space="preserve"> </w:t>
      </w:r>
      <w:r w:rsidRPr="005316C8">
        <w:t xml:space="preserve">(1982), pp. 112–132. </w:t>
      </w:r>
      <w:r>
        <w:t xml:space="preserve"> </w:t>
      </w:r>
      <w:r w:rsidRPr="005316C8">
        <w:t>Henceforth, the latter will be referred to as Momen 1982.</w:t>
      </w:r>
    </w:p>
  </w:endnote>
  <w:endnote w:id="25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Concerning the conditions of the Muslim world of the period see Curzon, </w:t>
      </w:r>
      <w:r w:rsidRPr="002E466A">
        <w:rPr>
          <w:i/>
          <w:iCs/>
        </w:rPr>
        <w:t>Persia</w:t>
      </w:r>
      <w:r w:rsidR="000B7B9C">
        <w:rPr>
          <w:i/>
          <w:iCs/>
        </w:rPr>
        <w:t xml:space="preserve"> </w:t>
      </w:r>
      <w:r w:rsidRPr="002E466A">
        <w:rPr>
          <w:i/>
          <w:iCs/>
        </w:rPr>
        <w:t>and the Persian Question</w:t>
      </w:r>
      <w:r w:rsidRPr="005316C8">
        <w:t>, 2 vols., Longmans, Green and Co., London 1892.</w:t>
      </w:r>
      <w:r>
        <w:t xml:space="preserve"> </w:t>
      </w:r>
      <w:r w:rsidRPr="005316C8">
        <w:t xml:space="preserve"> cf.</w:t>
      </w:r>
      <w:r w:rsidR="000B7B9C">
        <w:t xml:space="preserve"> </w:t>
      </w:r>
      <w:r w:rsidRPr="005316C8">
        <w:t xml:space="preserve">also A.-L.-M. Nicholas, </w:t>
      </w:r>
      <w:r w:rsidRPr="002E466A">
        <w:rPr>
          <w:i/>
          <w:iCs/>
        </w:rPr>
        <w:t>Séyyèd Ali Mohammed dit le Bâb</w:t>
      </w:r>
      <w:r w:rsidRPr="005316C8">
        <w:t>, Dujarric &amp; Cie., Paris</w:t>
      </w:r>
      <w:r w:rsidR="000B7B9C">
        <w:t xml:space="preserve"> </w:t>
      </w:r>
      <w:r w:rsidRPr="005316C8">
        <w:t>1905.</w:t>
      </w:r>
    </w:p>
  </w:endnote>
  <w:endnote w:id="26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Nabíl-i-A‘ẓam, op. cit., pp. 52–65.</w:t>
      </w:r>
    </w:p>
  </w:endnote>
  <w:endnote w:id="27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 xml:space="preserve">bid., pp. 66–69, 80–96. </w:t>
      </w:r>
      <w:r>
        <w:t xml:space="preserve"> </w:t>
      </w:r>
      <w:r w:rsidRPr="005316C8">
        <w:t xml:space="preserve">Also, Momen 1982 and H. Balyuzi, </w:t>
      </w:r>
      <w:r w:rsidRPr="002E466A">
        <w:rPr>
          <w:i/>
          <w:iCs/>
        </w:rPr>
        <w:t>The Báb</w:t>
      </w:r>
      <w:r w:rsidRPr="005316C8">
        <w:t>, George</w:t>
      </w:r>
      <w:r w:rsidR="000B7B9C">
        <w:t xml:space="preserve"> </w:t>
      </w:r>
      <w:r w:rsidRPr="005316C8">
        <w:t>Ronald, Oxford</w:t>
      </w:r>
      <w:r>
        <w:t>,</w:t>
      </w:r>
      <w:r w:rsidRPr="005316C8">
        <w:t xml:space="preserve"> 1973.</w:t>
      </w:r>
    </w:p>
  </w:endnote>
  <w:endnote w:id="28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Momen 1982, p. 116.</w:t>
      </w:r>
    </w:p>
  </w:endnote>
  <w:endnote w:id="29">
    <w:p w:rsidR="002E466A" w:rsidRDefault="002E466A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According to Muslim theology and belief, the most tangible proof of divine</w:t>
      </w:r>
      <w:r w:rsidR="000B7B9C">
        <w:t xml:space="preserve"> </w:t>
      </w:r>
      <w:r w:rsidRPr="005316C8">
        <w:t>revelation is the capacity of the Revelator to produce ‘revealed verses’ or</w:t>
      </w:r>
      <w:r w:rsidR="000B7B9C">
        <w:t xml:space="preserve"> </w:t>
      </w:r>
      <w:r w:rsidRPr="005316C8">
        <w:t xml:space="preserve">‘revealed writing’. </w:t>
      </w:r>
      <w:r>
        <w:t xml:space="preserve"> </w:t>
      </w:r>
      <w:r w:rsidRPr="005316C8">
        <w:t>The main characteristics of revealed writing are held to be:</w:t>
      </w:r>
      <w:r w:rsidR="000B7B9C">
        <w:t xml:space="preserve">  </w:t>
      </w:r>
      <w:r w:rsidRPr="005316C8">
        <w:t>the profundity and depth of the writing, the literary style and poetic quality of</w:t>
      </w:r>
      <w:r w:rsidR="000B7B9C">
        <w:t xml:space="preserve"> </w:t>
      </w:r>
      <w:r w:rsidRPr="005316C8">
        <w:t>the writing, the manner of writing (spontaneous and uninterrupted), and the</w:t>
      </w:r>
      <w:r w:rsidR="000B7B9C">
        <w:t xml:space="preserve"> </w:t>
      </w:r>
      <w:r w:rsidRPr="005316C8">
        <w:t>capacity to reveal writing under all conditions and circumstances.</w:t>
      </w:r>
    </w:p>
  </w:endnote>
  <w:endnote w:id="30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Balyuzi, </w:t>
      </w:r>
      <w:r w:rsidRPr="002E466A">
        <w:rPr>
          <w:i/>
          <w:iCs/>
        </w:rPr>
        <w:t>The Báb</w:t>
      </w:r>
      <w:r w:rsidRPr="005316C8">
        <w:t>, op. cit. and Momen 1982.</w:t>
      </w:r>
    </w:p>
  </w:endnote>
  <w:endnote w:id="31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Momen 1982, p. 119.</w:t>
      </w:r>
    </w:p>
  </w:endnote>
  <w:endnote w:id="32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120.</w:t>
      </w:r>
    </w:p>
  </w:endnote>
  <w:endnote w:id="33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</w:t>
      </w:r>
    </w:p>
  </w:endnote>
  <w:endnote w:id="34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124.</w:t>
      </w:r>
    </w:p>
  </w:endnote>
  <w:endnote w:id="35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121.</w:t>
      </w:r>
    </w:p>
  </w:endnote>
  <w:endnote w:id="36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</w:t>
      </w:r>
    </w:p>
  </w:endnote>
  <w:endnote w:id="37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122.</w:t>
      </w:r>
    </w:p>
  </w:endnote>
  <w:endnote w:id="38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The reader interested in pursuing the subject can consult Momen 1982 where</w:t>
      </w:r>
      <w:r w:rsidR="000B7B9C">
        <w:t xml:space="preserve"> </w:t>
      </w:r>
      <w:r w:rsidRPr="005316C8">
        <w:t xml:space="preserve">numerous further examples and passages from the </w:t>
      </w:r>
      <w:r w:rsidRPr="002E466A">
        <w:rPr>
          <w:i/>
          <w:iCs/>
        </w:rPr>
        <w:t>Qayyúmu’l-Asmá’</w:t>
      </w:r>
      <w:r w:rsidRPr="005316C8">
        <w:t xml:space="preserve"> are given, all</w:t>
      </w:r>
      <w:r w:rsidR="000B7B9C">
        <w:t xml:space="preserve"> </w:t>
      </w:r>
      <w:r w:rsidRPr="005316C8">
        <w:t xml:space="preserve">contained in the </w:t>
      </w:r>
      <w:r w:rsidRPr="002E466A">
        <w:rPr>
          <w:i/>
          <w:iCs/>
        </w:rPr>
        <w:t>fatwá</w:t>
      </w:r>
      <w:r w:rsidRPr="005316C8">
        <w:t xml:space="preserve"> document.</w:t>
      </w:r>
    </w:p>
  </w:endnote>
  <w:endnote w:id="39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>, p. 93, see note 21.</w:t>
      </w:r>
    </w:p>
  </w:endnote>
  <w:endnote w:id="40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2E466A">
        <w:rPr>
          <w:i/>
          <w:iCs/>
        </w:rPr>
        <w:t>Selections from the Writings of the Báb</w:t>
      </w:r>
      <w:r w:rsidRPr="005316C8">
        <w:t>, compiled by the Universal House of</w:t>
      </w:r>
      <w:r w:rsidR="000B7B9C">
        <w:t xml:space="preserve"> </w:t>
      </w:r>
      <w:r w:rsidRPr="005316C8">
        <w:t>Justice, Bahá’í World Centre, Haifa 1976, p. 119.</w:t>
      </w:r>
    </w:p>
  </w:endnote>
  <w:endnote w:id="41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Báb was a blood descendant of Muḥammad.</w:t>
      </w:r>
    </w:p>
  </w:endnote>
  <w:endnote w:id="42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The </w:t>
      </w:r>
      <w:r w:rsidRPr="002E466A">
        <w:rPr>
          <w:i/>
          <w:iCs/>
        </w:rPr>
        <w:t>Bayán</w:t>
      </w:r>
      <w:r w:rsidRPr="005316C8">
        <w:t xml:space="preserve"> is divided into books (‘units’) and chapters. </w:t>
      </w:r>
      <w:r>
        <w:t xml:space="preserve"> </w:t>
      </w:r>
      <w:r w:rsidRPr="005316C8">
        <w:t>The present passage is</w:t>
      </w:r>
      <w:r w:rsidR="000B7B9C">
        <w:t xml:space="preserve"> </w:t>
      </w:r>
      <w:r w:rsidRPr="005316C8">
        <w:t xml:space="preserve">from book V, chapter 8. </w:t>
      </w:r>
      <w:r>
        <w:t xml:space="preserve"> </w:t>
      </w:r>
      <w:r w:rsidRPr="005316C8">
        <w:t xml:space="preserve">The present translation is that of </w:t>
      </w:r>
      <w:r w:rsidRPr="002E466A">
        <w:rPr>
          <w:i/>
          <w:iCs/>
        </w:rPr>
        <w:t>Selections from the</w:t>
      </w:r>
      <w:r w:rsidR="000B7B9C">
        <w:rPr>
          <w:i/>
          <w:iCs/>
        </w:rPr>
        <w:t xml:space="preserve"> </w:t>
      </w:r>
      <w:r w:rsidRPr="002E466A">
        <w:rPr>
          <w:i/>
          <w:iCs/>
        </w:rPr>
        <w:t>Writings of the Báb</w:t>
      </w:r>
      <w:r w:rsidRPr="005316C8">
        <w:t>, op. cit., p. 104.</w:t>
      </w:r>
    </w:p>
  </w:endnote>
  <w:endnote w:id="43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Persian </w:t>
      </w:r>
      <w:r w:rsidRPr="002E466A">
        <w:rPr>
          <w:i/>
          <w:iCs/>
        </w:rPr>
        <w:t>Bayán</w:t>
      </w:r>
      <w:r w:rsidRPr="005316C8">
        <w:t>, VII, 2</w:t>
      </w:r>
      <w:r w:rsidRPr="002E466A">
        <w:rPr>
          <w:i/>
          <w:iCs/>
        </w:rPr>
        <w:t>.  Selections from the Writings of the Báb</w:t>
      </w:r>
      <w:r w:rsidRPr="005316C8">
        <w:t>, op. cit., p. 93.</w:t>
      </w:r>
    </w:p>
  </w:endnote>
  <w:endnote w:id="44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 xml:space="preserve">bid., VIII, 1. </w:t>
      </w:r>
      <w:r>
        <w:t>i</w:t>
      </w:r>
      <w:r w:rsidRPr="005316C8">
        <w:t>bid., p. 97.</w:t>
      </w:r>
    </w:p>
  </w:endnote>
  <w:endnote w:id="45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 xml:space="preserve">bid., V, 8. </w:t>
      </w:r>
      <w:r>
        <w:t>i</w:t>
      </w:r>
      <w:r w:rsidRPr="005316C8">
        <w:t>bid., p. 104.</w:t>
      </w:r>
    </w:p>
  </w:endnote>
  <w:endnote w:id="46">
    <w:p w:rsidR="002E466A" w:rsidRDefault="002E466A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Part of the preparation for Him Whom God shall make manifest was the severity</w:t>
      </w:r>
      <w:r w:rsidR="000B7B9C">
        <w:t xml:space="preserve"> </w:t>
      </w:r>
      <w:r w:rsidRPr="005316C8">
        <w:t xml:space="preserve">of the laws of the Báb, making a strong break with </w:t>
      </w:r>
      <w:r w:rsidRPr="002E466A">
        <w:rPr>
          <w:u w:val="single"/>
        </w:rPr>
        <w:t>Sh</w:t>
      </w:r>
      <w:r w:rsidRPr="005316C8">
        <w:t xml:space="preserve">í‘ih Islám. </w:t>
      </w:r>
      <w:r>
        <w:t xml:space="preserve"> </w:t>
      </w:r>
      <w:r w:rsidRPr="005316C8">
        <w:t>Shoghi Effendi</w:t>
      </w:r>
      <w:r w:rsidR="000B7B9C">
        <w:t xml:space="preserve"> </w:t>
      </w:r>
      <w:r w:rsidRPr="005316C8">
        <w:t>has commented on this in the following terms:  ‘</w:t>
      </w:r>
      <w:r>
        <w:t>…</w:t>
      </w:r>
      <w:r w:rsidRPr="005316C8">
        <w:t xml:space="preserve"> The severe laws and</w:t>
      </w:r>
      <w:r w:rsidR="000B7B9C">
        <w:t xml:space="preserve"> </w:t>
      </w:r>
      <w:r w:rsidRPr="005316C8">
        <w:t>injunctions revealed by the Báb can he properly appreciated and understood</w:t>
      </w:r>
      <w:r w:rsidR="000B7B9C">
        <w:t xml:space="preserve"> </w:t>
      </w:r>
      <w:r w:rsidRPr="005316C8">
        <w:t>only when interpreted in the light of His own statement regarding the nature,</w:t>
      </w:r>
      <w:r w:rsidR="000B7B9C">
        <w:t xml:space="preserve"> </w:t>
      </w:r>
      <w:r w:rsidRPr="005316C8">
        <w:t xml:space="preserve">purpose and character of His own Dispensation. </w:t>
      </w:r>
      <w:r>
        <w:t xml:space="preserve"> </w:t>
      </w:r>
      <w:r w:rsidRPr="005316C8">
        <w:t>As these statements clearly</w:t>
      </w:r>
      <w:r w:rsidR="000B7B9C">
        <w:t xml:space="preserve"> </w:t>
      </w:r>
      <w:r w:rsidRPr="005316C8">
        <w:t>reveal, the Bábí Dispensation was essentially in the nature of a religious and</w:t>
      </w:r>
      <w:r w:rsidR="000B7B9C">
        <w:t xml:space="preserve"> </w:t>
      </w:r>
      <w:r w:rsidRPr="005316C8">
        <w:t xml:space="preserve">indeed social revolution, and its duration had therefore to </w:t>
      </w:r>
      <w:r w:rsidR="00426A8A">
        <w:t>b</w:t>
      </w:r>
      <w:r w:rsidRPr="005316C8">
        <w:t>e short, but full of</w:t>
      </w:r>
      <w:r w:rsidR="000B7B9C">
        <w:t xml:space="preserve"> </w:t>
      </w:r>
      <w:r w:rsidRPr="005316C8">
        <w:t xml:space="preserve">tragic events, of sweeping and drastic reforms. </w:t>
      </w:r>
      <w:r>
        <w:t xml:space="preserve"> </w:t>
      </w:r>
      <w:r w:rsidRPr="005316C8">
        <w:t>These drastic measures enforced by</w:t>
      </w:r>
      <w:r w:rsidR="000B7B9C">
        <w:t xml:space="preserve"> </w:t>
      </w:r>
      <w:r w:rsidRPr="005316C8">
        <w:t>the Báb and His followers were taken with the view of undermining the very</w:t>
      </w:r>
      <w:r w:rsidR="000B7B9C">
        <w:t xml:space="preserve"> </w:t>
      </w:r>
      <w:r w:rsidRPr="005316C8">
        <w:t>foundations of Shia’h [sic] orthodoxy, and thus paving the way for the coming of</w:t>
      </w:r>
      <w:r w:rsidR="000B7B9C">
        <w:t xml:space="preserve"> </w:t>
      </w:r>
      <w:r w:rsidRPr="005316C8">
        <w:t xml:space="preserve">Bahá’u’lláh. </w:t>
      </w:r>
      <w:r>
        <w:t xml:space="preserve"> </w:t>
      </w:r>
      <w:r w:rsidRPr="005316C8">
        <w:t>To assert the independence of the new Dispensation, and to prepare</w:t>
      </w:r>
      <w:r w:rsidR="000B7B9C">
        <w:t xml:space="preserve"> </w:t>
      </w:r>
      <w:r w:rsidRPr="005316C8">
        <w:t>also the ground for the approaching Revelation of Bahá’u’lláh the Báb had</w:t>
      </w:r>
      <w:r w:rsidR="000B7B9C">
        <w:t xml:space="preserve"> </w:t>
      </w:r>
      <w:r w:rsidRPr="005316C8">
        <w:t>therefore to reveal very severe laws, even though most of them were never</w:t>
      </w:r>
      <w:r w:rsidR="000B7B9C">
        <w:t xml:space="preserve"> </w:t>
      </w:r>
      <w:r w:rsidRPr="005316C8">
        <w:t xml:space="preserve">enforced. </w:t>
      </w:r>
      <w:r>
        <w:t xml:space="preserve"> </w:t>
      </w:r>
      <w:r w:rsidRPr="005316C8">
        <w:t>But the mere fact that He revealed them was in itself proof of the</w:t>
      </w:r>
      <w:r w:rsidR="000B7B9C">
        <w:t xml:space="preserve"> </w:t>
      </w:r>
      <w:r w:rsidRPr="005316C8">
        <w:t>independent character of His Dispensation and was sufficient to create such</w:t>
      </w:r>
      <w:r w:rsidR="000B7B9C">
        <w:t xml:space="preserve"> </w:t>
      </w:r>
      <w:r w:rsidRPr="005316C8">
        <w:t>widespread agitation, and excite such opposition on the part of the clergy that</w:t>
      </w:r>
      <w:r w:rsidR="000B7B9C">
        <w:t xml:space="preserve"> </w:t>
      </w:r>
      <w:r w:rsidRPr="005316C8">
        <w:t>led them to cause His eventual martyrdom.’ (Shoghi Effendi’s secretary on his</w:t>
      </w:r>
      <w:r w:rsidR="000B7B9C">
        <w:t xml:space="preserve"> </w:t>
      </w:r>
      <w:r w:rsidRPr="005316C8">
        <w:t xml:space="preserve">behalf, </w:t>
      </w:r>
      <w:r w:rsidRPr="002E466A">
        <w:rPr>
          <w:i/>
          <w:iCs/>
        </w:rPr>
        <w:t>Dawn of a New Day</w:t>
      </w:r>
      <w:r w:rsidRPr="005316C8">
        <w:t>, Bahá’í Publishing Trust, New Delhi 1970, pp. 77–8.)</w:t>
      </w:r>
      <w:r w:rsidR="000B7B9C">
        <w:t xml:space="preserve">  </w:t>
      </w:r>
      <w:r w:rsidRPr="005316C8">
        <w:t>Thus, the Báb’s ministry had the two-fold function of establishing an</w:t>
      </w:r>
      <w:r w:rsidR="000B7B9C">
        <w:t xml:space="preserve"> </w:t>
      </w:r>
      <w:r w:rsidRPr="005316C8">
        <w:t>independent religious system (but of short duration) and of serving as a</w:t>
      </w:r>
      <w:r w:rsidR="000B7B9C">
        <w:t xml:space="preserve"> </w:t>
      </w:r>
      <w:r w:rsidRPr="005316C8">
        <w:t xml:space="preserve">preparation for a further, greater Manifestation of God. </w:t>
      </w:r>
      <w:r>
        <w:t xml:space="preserve"> </w:t>
      </w:r>
      <w:r w:rsidRPr="005316C8">
        <w:t>Bahá’í literature often</w:t>
      </w:r>
      <w:r w:rsidR="000B7B9C">
        <w:t xml:space="preserve"> </w:t>
      </w:r>
      <w:r w:rsidRPr="005316C8">
        <w:t>refers to this ‘dual’ or ‘two-fold’ station of the Báb.</w:t>
      </w:r>
    </w:p>
  </w:endnote>
  <w:endnote w:id="47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Shoghi Effendi’s secretary on his behalf, in </w:t>
      </w:r>
      <w:r w:rsidRPr="002E466A">
        <w:rPr>
          <w:i/>
          <w:iCs/>
        </w:rPr>
        <w:t>Unfolding Destiny</w:t>
      </w:r>
      <w:r>
        <w:rPr>
          <w:i/>
          <w:iCs/>
        </w:rPr>
        <w:t xml:space="preserve"> </w:t>
      </w:r>
      <w:r w:rsidRPr="002E466A">
        <w:rPr>
          <w:i/>
          <w:iCs/>
        </w:rPr>
        <w:t>. The Messages from</w:t>
      </w:r>
      <w:r w:rsidR="000B7B9C">
        <w:rPr>
          <w:i/>
          <w:iCs/>
        </w:rPr>
        <w:t xml:space="preserve"> </w:t>
      </w:r>
      <w:r w:rsidRPr="002E466A">
        <w:rPr>
          <w:i/>
          <w:iCs/>
        </w:rPr>
        <w:t>the Guardian of the Bahá’í Faith to the Bahá’ís of the British Isles</w:t>
      </w:r>
      <w:r w:rsidRPr="005316C8">
        <w:t>, Bahá’í Publishing</w:t>
      </w:r>
      <w:r w:rsidR="000B7B9C">
        <w:t xml:space="preserve"> </w:t>
      </w:r>
      <w:r w:rsidRPr="005316C8">
        <w:t>Trust, London 1981, p. 426.</w:t>
      </w:r>
    </w:p>
  </w:endnote>
  <w:endnote w:id="48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Detailed consideration of these events is outside the scope of this paper. </w:t>
      </w:r>
      <w:r>
        <w:t xml:space="preserve"> </w:t>
      </w:r>
      <w:r w:rsidRPr="005316C8">
        <w:t>The</w:t>
      </w:r>
      <w:r w:rsidR="000B7B9C">
        <w:t xml:space="preserve"> </w:t>
      </w:r>
      <w:r w:rsidRPr="005316C8">
        <w:t>interested reader can consult the basic source of Nabíl, op. cit.</w:t>
      </w:r>
    </w:p>
  </w:endnote>
  <w:endnote w:id="49">
    <w:p w:rsidR="002E466A" w:rsidRDefault="002E466A" w:rsidP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In </w:t>
      </w:r>
      <w:r w:rsidRPr="007031B1">
        <w:rPr>
          <w:i/>
          <w:iCs/>
        </w:rPr>
        <w:t>Concept</w:t>
      </w:r>
      <w:r w:rsidRPr="005316C8">
        <w:t>, MacEoin has systematically avoided consideration of the central role</w:t>
      </w:r>
      <w:r w:rsidR="000B7B9C">
        <w:t xml:space="preserve"> </w:t>
      </w:r>
      <w:r w:rsidRPr="005316C8">
        <w:t xml:space="preserve">played in the Persian </w:t>
      </w:r>
      <w:r w:rsidRPr="002E466A">
        <w:rPr>
          <w:i/>
          <w:iCs/>
        </w:rPr>
        <w:t>Bayán</w:t>
      </w:r>
      <w:r w:rsidRPr="005316C8">
        <w:t xml:space="preserve"> by Him Whom God shall make manifest. </w:t>
      </w:r>
      <w:r>
        <w:t xml:space="preserve"> </w:t>
      </w:r>
      <w:r w:rsidRPr="005316C8">
        <w:t>He makes</w:t>
      </w:r>
      <w:r w:rsidR="000B7B9C">
        <w:t xml:space="preserve"> </w:t>
      </w:r>
      <w:r w:rsidRPr="005316C8">
        <w:t>only one casual, passing reference to a ‘</w:t>
      </w:r>
      <w:r>
        <w:t>…</w:t>
      </w:r>
      <w:r w:rsidRPr="005316C8">
        <w:t xml:space="preserve"> messianic figure whose advent at a</w:t>
      </w:r>
      <w:r w:rsidR="000B7B9C">
        <w:t xml:space="preserve"> </w:t>
      </w:r>
      <w:r w:rsidRPr="005316C8">
        <w:t>distant date the Báb alluded to’</w:t>
      </w:r>
      <w:r>
        <w:t>.</w:t>
      </w:r>
      <w:r w:rsidRPr="005316C8">
        <w:t xml:space="preserve"> (</w:t>
      </w:r>
      <w:r w:rsidRPr="007031B1">
        <w:rPr>
          <w:i/>
          <w:iCs/>
        </w:rPr>
        <w:t>Concept</w:t>
      </w:r>
      <w:r w:rsidRPr="005316C8">
        <w:t>, p. 108)</w:t>
      </w:r>
      <w:r>
        <w:t xml:space="preserve"> </w:t>
      </w:r>
      <w:r w:rsidRPr="005316C8">
        <w:t xml:space="preserve"> Such systematic omission of</w:t>
      </w:r>
      <w:r w:rsidR="000B7B9C">
        <w:t xml:space="preserve"> </w:t>
      </w:r>
      <w:r w:rsidRPr="005316C8">
        <w:t xml:space="preserve">the very focal point and central concern of the </w:t>
      </w:r>
      <w:r w:rsidRPr="002E466A">
        <w:rPr>
          <w:i/>
          <w:iCs/>
        </w:rPr>
        <w:t>Bayán</w:t>
      </w:r>
      <w:r w:rsidRPr="005316C8">
        <w:t xml:space="preserve"> constitutes a gross</w:t>
      </w:r>
      <w:r w:rsidR="000B7B9C">
        <w:t xml:space="preserve"> </w:t>
      </w:r>
      <w:r w:rsidRPr="005316C8">
        <w:t xml:space="preserve">distortion and misrepresentation of the Báb’s teachings. </w:t>
      </w:r>
      <w:r>
        <w:t xml:space="preserve"> </w:t>
      </w:r>
      <w:r w:rsidRPr="005316C8">
        <w:t>Moreover, even this one</w:t>
      </w:r>
      <w:r w:rsidR="000B7B9C">
        <w:t xml:space="preserve"> </w:t>
      </w:r>
      <w:r w:rsidRPr="005316C8">
        <w:t>reference contains the gratuitous assertion that the future Manifestation was</w:t>
      </w:r>
      <w:r w:rsidR="000B7B9C">
        <w:t xml:space="preserve"> </w:t>
      </w:r>
      <w:r w:rsidRPr="005316C8">
        <w:t>expected ‘at a distant date’, contrary to the clear indications in the Báb’s</w:t>
      </w:r>
      <w:r w:rsidR="000B7B9C">
        <w:t xml:space="preserve"> </w:t>
      </w:r>
      <w:r w:rsidRPr="005316C8">
        <w:t>writings that the advent of this Manifestation was imminent.</w:t>
      </w:r>
    </w:p>
  </w:endnote>
  <w:endnote w:id="50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>, p. 103.</w:t>
      </w:r>
    </w:p>
  </w:endnote>
  <w:endnote w:id="51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In this connection, it is interesting to note that the </w:t>
      </w:r>
      <w:r w:rsidRPr="002E466A">
        <w:rPr>
          <w:i/>
          <w:iCs/>
        </w:rPr>
        <w:t>fatwá</w:t>
      </w:r>
      <w:r w:rsidRPr="005316C8">
        <w:t xml:space="preserve"> document, which</w:t>
      </w:r>
      <w:r w:rsidR="000B7B9C">
        <w:t xml:space="preserve"> </w:t>
      </w:r>
      <w:r w:rsidRPr="005316C8">
        <w:t xml:space="preserve">condemns the author of the </w:t>
      </w:r>
      <w:r w:rsidRPr="002E466A">
        <w:rPr>
          <w:i/>
          <w:iCs/>
        </w:rPr>
        <w:t>Qayyúmu’l-Asmá’</w:t>
      </w:r>
      <w:r w:rsidRPr="005316C8">
        <w:t xml:space="preserve"> as a heretic, and which does not</w:t>
      </w:r>
      <w:r w:rsidR="000B7B9C">
        <w:t xml:space="preserve"> </w:t>
      </w:r>
      <w:r w:rsidRPr="005316C8">
        <w:t>hesitate to mention every deviation from orthodox Islám, however slight, that</w:t>
      </w:r>
      <w:r w:rsidR="000B7B9C">
        <w:t xml:space="preserve"> </w:t>
      </w:r>
      <w:r w:rsidRPr="005316C8">
        <w:t xml:space="preserve">the </w:t>
      </w:r>
      <w:r w:rsidRPr="002E466A">
        <w:rPr>
          <w:i/>
          <w:iCs/>
        </w:rPr>
        <w:t>Qayyúmu’l-Asmá’</w:t>
      </w:r>
      <w:r w:rsidRPr="005316C8">
        <w:t xml:space="preserve"> contains, makes no reference whatever to </w:t>
      </w:r>
      <w:r w:rsidRPr="007031B1">
        <w:rPr>
          <w:i/>
          <w:iCs/>
        </w:rPr>
        <w:t>jihád</w:t>
      </w:r>
      <w:r w:rsidRPr="005316C8">
        <w:t xml:space="preserve">. </w:t>
      </w:r>
      <w:r>
        <w:t xml:space="preserve"> </w:t>
      </w:r>
      <w:r w:rsidRPr="005316C8">
        <w:t>Thus, the</w:t>
      </w:r>
      <w:r w:rsidR="000B7B9C">
        <w:t xml:space="preserve"> </w:t>
      </w:r>
      <w:r w:rsidRPr="007031B1">
        <w:rPr>
          <w:i/>
          <w:iCs/>
        </w:rPr>
        <w:t>jihád</w:t>
      </w:r>
      <w:r w:rsidRPr="005316C8">
        <w:t xml:space="preserve"> doctrine of the </w:t>
      </w:r>
      <w:r w:rsidRPr="002E466A">
        <w:rPr>
          <w:i/>
          <w:iCs/>
        </w:rPr>
        <w:t>Qayyúmu’l-Asmá’</w:t>
      </w:r>
      <w:r w:rsidRPr="005316C8">
        <w:t xml:space="preserve"> was tacitly recognized by the Sunní and</w:t>
      </w:r>
      <w:r w:rsidR="000B7B9C">
        <w:t xml:space="preserve"> </w:t>
      </w:r>
      <w:r w:rsidRPr="002E466A">
        <w:rPr>
          <w:u w:val="single"/>
        </w:rPr>
        <w:t>Sh</w:t>
      </w:r>
      <w:r w:rsidRPr="005316C8">
        <w:t>í‘ih ecclesiastics as thoroughly Qur’anic.</w:t>
      </w:r>
    </w:p>
  </w:endnote>
  <w:endnote w:id="52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We have already seen in the previous section why the Báb had decided, in the</w:t>
      </w:r>
      <w:r w:rsidR="000B7B9C">
        <w:t xml:space="preserve"> </w:t>
      </w:r>
      <w:r w:rsidRPr="005316C8">
        <w:t xml:space="preserve">early stages of his ministry, not to promulgate explicitly any new laws. </w:t>
      </w:r>
      <w:r>
        <w:t xml:space="preserve"> </w:t>
      </w:r>
      <w:r w:rsidRPr="005316C8">
        <w:t>Thus, any</w:t>
      </w:r>
      <w:r w:rsidR="000B7B9C">
        <w:t xml:space="preserve"> </w:t>
      </w:r>
      <w:r w:rsidRPr="005316C8">
        <w:t>restrictions or modifications of Islamic law had to remain implicit for the time</w:t>
      </w:r>
      <w:r w:rsidR="000B7B9C">
        <w:t xml:space="preserve"> </w:t>
      </w:r>
      <w:r w:rsidRPr="005316C8">
        <w:t>being.</w:t>
      </w:r>
    </w:p>
  </w:endnote>
  <w:endnote w:id="53">
    <w:p w:rsidR="002E466A" w:rsidRDefault="002E466A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For example, in chapter VII, book 6, the Báb says:  ‘It is forbidden to carry arms</w:t>
      </w:r>
      <w:r w:rsidR="000B7B9C">
        <w:t xml:space="preserve"> </w:t>
      </w:r>
      <w:r w:rsidRPr="005316C8">
        <w:t xml:space="preserve">of any sort except in case of an emergency or if a </w:t>
      </w:r>
      <w:r w:rsidRPr="007031B1">
        <w:rPr>
          <w:i/>
          <w:iCs/>
        </w:rPr>
        <w:t>jihád</w:t>
      </w:r>
      <w:r w:rsidRPr="005316C8">
        <w:t xml:space="preserve"> has been declared.’  Here</w:t>
      </w:r>
      <w:r w:rsidR="000B7B9C">
        <w:t xml:space="preserve"> </w:t>
      </w:r>
      <w:r w:rsidRPr="005316C8">
        <w:t xml:space="preserve">again we can see that the law of the Báb tends toward a restriction of currently-accepted practice, rather than any incitement to wage war. </w:t>
      </w:r>
      <w:r>
        <w:t xml:space="preserve"> </w:t>
      </w:r>
      <w:r w:rsidRPr="005316C8">
        <w:t xml:space="preserve">Although </w:t>
      </w:r>
      <w:r w:rsidRPr="007031B1">
        <w:rPr>
          <w:i/>
          <w:iCs/>
        </w:rPr>
        <w:t>jihád</w:t>
      </w:r>
      <w:r w:rsidRPr="005316C8">
        <w:t xml:space="preserve"> is</w:t>
      </w:r>
      <w:r w:rsidR="000B7B9C">
        <w:t xml:space="preserve"> </w:t>
      </w:r>
      <w:r w:rsidRPr="005316C8">
        <w:t>mentioned as a possible exception to the prohibition against bearing arms, there</w:t>
      </w:r>
      <w:r w:rsidR="000B7B9C">
        <w:t xml:space="preserve"> </w:t>
      </w:r>
      <w:r w:rsidRPr="005316C8">
        <w:t xml:space="preserve">is clearly no implication whatever that a </w:t>
      </w:r>
      <w:r w:rsidRPr="007031B1">
        <w:rPr>
          <w:i/>
          <w:iCs/>
        </w:rPr>
        <w:t>jihád</w:t>
      </w:r>
      <w:r w:rsidRPr="005316C8">
        <w:t xml:space="preserve"> will be declared or must be</w:t>
      </w:r>
      <w:r w:rsidR="000B7B9C">
        <w:t xml:space="preserve"> </w:t>
      </w:r>
      <w:r w:rsidRPr="005316C8">
        <w:t xml:space="preserve">declared, </w:t>
      </w:r>
      <w:r w:rsidRPr="007031B1">
        <w:rPr>
          <w:i/>
          <w:iCs/>
        </w:rPr>
        <w:t>jihád</w:t>
      </w:r>
      <w:r w:rsidRPr="005316C8">
        <w:t xml:space="preserve"> being contingent on the command of the Báb alone.</w:t>
      </w:r>
    </w:p>
  </w:endnote>
  <w:endnote w:id="54">
    <w:p w:rsidR="002E466A" w:rsidRDefault="002E466A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In </w:t>
      </w:r>
      <w:r w:rsidRPr="007031B1">
        <w:rPr>
          <w:i/>
          <w:iCs/>
        </w:rPr>
        <w:t>Concept</w:t>
      </w:r>
      <w:r w:rsidRPr="005316C8">
        <w:t xml:space="preserve"> MacEoin is at pains to extract somehow a </w:t>
      </w:r>
      <w:r w:rsidRPr="007031B1">
        <w:rPr>
          <w:i/>
          <w:iCs/>
        </w:rPr>
        <w:t>jihád</w:t>
      </w:r>
      <w:r w:rsidRPr="005316C8">
        <w:t xml:space="preserve"> doctrine from the</w:t>
      </w:r>
      <w:r w:rsidR="000B7B9C">
        <w:t xml:space="preserve"> </w:t>
      </w:r>
      <w:r w:rsidRPr="005316C8">
        <w:t xml:space="preserve">Persian </w:t>
      </w:r>
      <w:r w:rsidRPr="002E466A">
        <w:rPr>
          <w:i/>
          <w:iCs/>
        </w:rPr>
        <w:t>Bayán</w:t>
      </w:r>
      <w:r w:rsidRPr="005316C8">
        <w:t xml:space="preserve">. </w:t>
      </w:r>
      <w:r>
        <w:t xml:space="preserve"> </w:t>
      </w:r>
      <w:r w:rsidRPr="005316C8">
        <w:t>He begins by admitting that there is no explicit injunction to</w:t>
      </w:r>
      <w:r w:rsidR="000B7B9C">
        <w:t xml:space="preserve"> </w:t>
      </w:r>
      <w:r w:rsidRPr="005316C8">
        <w:t xml:space="preserve">wage </w:t>
      </w:r>
      <w:r w:rsidRPr="007031B1">
        <w:rPr>
          <w:i/>
          <w:iCs/>
        </w:rPr>
        <w:t>jihád</w:t>
      </w:r>
      <w:r w:rsidRPr="005316C8">
        <w:t xml:space="preserve"> in the Persian </w:t>
      </w:r>
      <w:r w:rsidRPr="002E466A">
        <w:rPr>
          <w:i/>
          <w:iCs/>
        </w:rPr>
        <w:t>Bayán</w:t>
      </w:r>
      <w:r w:rsidRPr="005316C8">
        <w:t xml:space="preserve">. </w:t>
      </w:r>
      <w:r>
        <w:t xml:space="preserve"> </w:t>
      </w:r>
      <w:r w:rsidRPr="005316C8">
        <w:t>He then continues:  ‘Nevertheless, several</w:t>
      </w:r>
      <w:r w:rsidR="000B7B9C">
        <w:t xml:space="preserve"> </w:t>
      </w:r>
      <w:r w:rsidRPr="005316C8">
        <w:t xml:space="preserve">passages exist which rest on the assumption that </w:t>
      </w:r>
      <w:r w:rsidRPr="007031B1">
        <w:rPr>
          <w:i/>
          <w:iCs/>
        </w:rPr>
        <w:t>jihád</w:t>
      </w:r>
      <w:r w:rsidRPr="005316C8">
        <w:t xml:space="preserve"> may be waged, while</w:t>
      </w:r>
      <w:r w:rsidR="000B7B9C">
        <w:t xml:space="preserve"> </w:t>
      </w:r>
      <w:r w:rsidRPr="005316C8">
        <w:t>others command it in a form very different to that of the Quranic injunctions.’</w:t>
      </w:r>
      <w:r w:rsidR="000B7B9C">
        <w:t xml:space="preserve"> </w:t>
      </w:r>
      <w:r w:rsidRPr="005316C8">
        <w:t>(</w:t>
      </w:r>
      <w:r w:rsidRPr="007031B1">
        <w:rPr>
          <w:i/>
          <w:iCs/>
        </w:rPr>
        <w:t>Concept</w:t>
      </w:r>
      <w:r w:rsidRPr="005316C8">
        <w:t>, p. 107.)</w:t>
      </w:r>
      <w:r>
        <w:t xml:space="preserve"> </w:t>
      </w:r>
      <w:r w:rsidRPr="005316C8">
        <w:t xml:space="preserve"> What this ‘very different’ form of </w:t>
      </w:r>
      <w:r w:rsidRPr="007031B1">
        <w:rPr>
          <w:i/>
          <w:iCs/>
        </w:rPr>
        <w:t>jihád</w:t>
      </w:r>
      <w:r w:rsidRPr="005316C8">
        <w:t xml:space="preserve"> turns out to be is simply</w:t>
      </w:r>
      <w:r w:rsidR="000B7B9C">
        <w:t xml:space="preserve"> </w:t>
      </w:r>
      <w:r w:rsidRPr="005316C8">
        <w:t>the injunction to teach the Bábí Faith to others.</w:t>
      </w:r>
      <w:r>
        <w:t xml:space="preserve"> </w:t>
      </w:r>
      <w:r w:rsidRPr="005316C8">
        <w:t xml:space="preserve"> For example, MacEoin quotes</w:t>
      </w:r>
      <w:r w:rsidR="000B7B9C">
        <w:t xml:space="preserve"> </w:t>
      </w:r>
      <w:r w:rsidRPr="005316C8">
        <w:t>(</w:t>
      </w:r>
      <w:r w:rsidRPr="007031B1">
        <w:rPr>
          <w:i/>
          <w:iCs/>
        </w:rPr>
        <w:t>Concept</w:t>
      </w:r>
      <w:r w:rsidRPr="005316C8">
        <w:t xml:space="preserve">, p. 108) from book V, chapter 5 of the </w:t>
      </w:r>
      <w:r w:rsidRPr="002E466A">
        <w:rPr>
          <w:i/>
          <w:iCs/>
        </w:rPr>
        <w:t>Bayán</w:t>
      </w:r>
      <w:r w:rsidRPr="005316C8">
        <w:t xml:space="preserve"> which states, among other</w:t>
      </w:r>
      <w:r w:rsidR="000B7B9C">
        <w:t xml:space="preserve"> </w:t>
      </w:r>
      <w:r w:rsidRPr="005316C8">
        <w:t>things, that the kings and leaders of the earth should not wait for people to</w:t>
      </w:r>
      <w:r w:rsidR="000B7B9C">
        <w:t xml:space="preserve"> </w:t>
      </w:r>
      <w:r w:rsidRPr="005316C8">
        <w:t>enter the Faith of the Báb spontaneously, but should actively teach the Faith to</w:t>
      </w:r>
      <w:r w:rsidR="000B7B9C">
        <w:t xml:space="preserve"> </w:t>
      </w:r>
      <w:r w:rsidRPr="005316C8">
        <w:t xml:space="preserve">others and lead them to belief in it. </w:t>
      </w:r>
      <w:r>
        <w:t xml:space="preserve"> </w:t>
      </w:r>
      <w:r w:rsidRPr="005316C8">
        <w:t xml:space="preserve">This is not just a ‘very different’ form of </w:t>
      </w:r>
      <w:r w:rsidRPr="007031B1">
        <w:rPr>
          <w:i/>
          <w:iCs/>
        </w:rPr>
        <w:t>jihád</w:t>
      </w:r>
      <w:r w:rsidRPr="005316C8">
        <w:t>;</w:t>
      </w:r>
      <w:r w:rsidR="000B7B9C">
        <w:t xml:space="preserve"> </w:t>
      </w:r>
      <w:r w:rsidRPr="005316C8">
        <w:t xml:space="preserve">it is not </w:t>
      </w:r>
      <w:r w:rsidRPr="007031B1">
        <w:rPr>
          <w:i/>
          <w:iCs/>
        </w:rPr>
        <w:t>jihád</w:t>
      </w:r>
      <w:r w:rsidRPr="005316C8">
        <w:t xml:space="preserve"> at all. </w:t>
      </w:r>
      <w:r>
        <w:t xml:space="preserve"> </w:t>
      </w:r>
      <w:r w:rsidRPr="005316C8">
        <w:t>In attempting to interpret such injunctions to teach the Faith</w:t>
      </w:r>
      <w:r w:rsidR="000B7B9C">
        <w:t xml:space="preserve"> </w:t>
      </w:r>
      <w:r w:rsidRPr="005316C8">
        <w:t xml:space="preserve">to others as incitements to </w:t>
      </w:r>
      <w:r w:rsidRPr="007031B1">
        <w:rPr>
          <w:i/>
          <w:iCs/>
        </w:rPr>
        <w:t>jihád</w:t>
      </w:r>
      <w:r w:rsidRPr="005316C8">
        <w:t>, MacEoin betrays here just how difficult the</w:t>
      </w:r>
      <w:r w:rsidR="000B7B9C">
        <w:t xml:space="preserve"> </w:t>
      </w:r>
      <w:r w:rsidRPr="005316C8">
        <w:t>defense of the central thesis of his paper has become.</w:t>
      </w:r>
    </w:p>
  </w:endnote>
  <w:endnote w:id="55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H. Balyuzi, </w:t>
      </w:r>
      <w:r w:rsidRPr="002E466A">
        <w:rPr>
          <w:i/>
          <w:iCs/>
        </w:rPr>
        <w:t>The Báb</w:t>
      </w:r>
      <w:r w:rsidRPr="005316C8">
        <w:t>, pp. 69–75.</w:t>
      </w:r>
    </w:p>
  </w:endnote>
  <w:endnote w:id="56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Shoghi Effendi, </w:t>
      </w:r>
      <w:r w:rsidRPr="002E466A">
        <w:rPr>
          <w:i/>
          <w:iCs/>
        </w:rPr>
        <w:t>God Passes By</w:t>
      </w:r>
      <w:r w:rsidRPr="005316C8">
        <w:t>, Bahá’í Publishing Trust, Wilmette, Illinois 1957,</w:t>
      </w:r>
      <w:r w:rsidR="000B7B9C">
        <w:t xml:space="preserve"> </w:t>
      </w:r>
      <w:r w:rsidRPr="005316C8">
        <w:t>pp. 35–36.</w:t>
      </w:r>
    </w:p>
  </w:endnote>
  <w:endnote w:id="57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  <w:t>i</w:t>
      </w:r>
      <w:r w:rsidRPr="005316C8">
        <w:t>bid., p. 37.</w:t>
      </w:r>
    </w:p>
  </w:endnote>
  <w:endnote w:id="58">
    <w:p w:rsidR="002E466A" w:rsidRDefault="002E466A" w:rsidP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It was during this encounter that Mullá Ḥusayn accomplished the often-told and</w:t>
      </w:r>
      <w:r w:rsidR="000B7B9C">
        <w:t xml:space="preserve"> </w:t>
      </w:r>
      <w:r w:rsidRPr="005316C8">
        <w:t>thoroughly-authenticated feat of dispatching an adversary in one blow of his</w:t>
      </w:r>
      <w:r w:rsidR="000B7B9C">
        <w:t xml:space="preserve"> </w:t>
      </w:r>
      <w:r w:rsidRPr="005316C8">
        <w:t>sword, cutting in two the man, his musket, and the tree behind which he had</w:t>
      </w:r>
      <w:r w:rsidR="000B7B9C">
        <w:t xml:space="preserve"> </w:t>
      </w:r>
      <w:r w:rsidRPr="005316C8">
        <w:t xml:space="preserve">retreated. </w:t>
      </w:r>
      <w:r>
        <w:t xml:space="preserve"> </w:t>
      </w:r>
      <w:r w:rsidRPr="005316C8">
        <w:t xml:space="preserve">The feat was confirmed by enemies as well as Bábís. </w:t>
      </w:r>
      <w:r>
        <w:t xml:space="preserve"> </w:t>
      </w:r>
      <w:r w:rsidRPr="005316C8">
        <w:t>When the Grand</w:t>
      </w:r>
      <w:r w:rsidR="000B7B9C">
        <w:t xml:space="preserve"> </w:t>
      </w:r>
      <w:r w:rsidRPr="005316C8">
        <w:t>Vazír chastized the Prince Mihdí-Qulí Mírzá for his inability to defeat the Bábís</w:t>
      </w:r>
      <w:r w:rsidR="000B7B9C">
        <w:t xml:space="preserve"> </w:t>
      </w:r>
      <w:r w:rsidRPr="005316C8">
        <w:t xml:space="preserve">at </w:t>
      </w:r>
      <w:r w:rsidRPr="007031B1">
        <w:rPr>
          <w:u w:val="single"/>
        </w:rPr>
        <w:t>Sh</w:t>
      </w:r>
      <w:r w:rsidRPr="005316C8">
        <w:t>ay</w:t>
      </w:r>
      <w:r w:rsidRPr="007031B1">
        <w:rPr>
          <w:u w:val="single"/>
        </w:rPr>
        <w:t>kh</w:t>
      </w:r>
      <w:r w:rsidRPr="005316C8">
        <w:t xml:space="preserve"> Ṭabarsí, the Prince sent him pieces of the musket-barrel smashed by</w:t>
      </w:r>
      <w:r w:rsidR="000B7B9C">
        <w:t xml:space="preserve"> </w:t>
      </w:r>
      <w:r w:rsidRPr="005316C8">
        <w:t>the sword of Mullá Ḥusayn, saying:  ‘Such is the contemptible strength of the</w:t>
      </w:r>
      <w:r w:rsidR="000B7B9C">
        <w:t xml:space="preserve"> </w:t>
      </w:r>
      <w:r w:rsidRPr="005316C8">
        <w:t>adversary who, with a single stroke of his sword, has shattered into six pieces the</w:t>
      </w:r>
      <w:r w:rsidR="000B7B9C">
        <w:t xml:space="preserve"> </w:t>
      </w:r>
      <w:r w:rsidRPr="005316C8">
        <w:t>tree, the musket, and its holder.’ (cf., Nabíl., op. cit., p. 332.)</w:t>
      </w:r>
    </w:p>
  </w:endnote>
  <w:endnote w:id="59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Nabíl, op. cit., contains the names of some of the survivors and even a</w:t>
      </w:r>
      <w:r w:rsidR="000B7B9C">
        <w:t xml:space="preserve"> </w:t>
      </w:r>
      <w:r w:rsidRPr="005316C8">
        <w:t>photograph of one of them.</w:t>
      </w:r>
    </w:p>
  </w:endnote>
  <w:endnote w:id="60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7031B1">
        <w:rPr>
          <w:i/>
          <w:iCs/>
        </w:rPr>
        <w:t>Concept</w:t>
      </w:r>
      <w:r w:rsidRPr="005316C8">
        <w:t>, p. 121.</w:t>
      </w:r>
    </w:p>
  </w:endnote>
  <w:endnote w:id="61">
    <w:p w:rsidR="002E466A" w:rsidRDefault="002E466A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Once the sieges were under way, the authorities, in their desperate attempt to</w:t>
      </w:r>
      <w:r w:rsidR="000B7B9C">
        <w:t xml:space="preserve"> </w:t>
      </w:r>
      <w:r w:rsidRPr="005316C8">
        <w:t>justify their actions, did misrepresent the Bábí defensive actions as rebellious and</w:t>
      </w:r>
      <w:r w:rsidR="000B7B9C">
        <w:t xml:space="preserve"> </w:t>
      </w:r>
      <w:r w:rsidRPr="005316C8">
        <w:t>subversive in nature.</w:t>
      </w:r>
      <w:r>
        <w:t xml:space="preserve"> </w:t>
      </w:r>
      <w:r w:rsidRPr="005316C8">
        <w:t xml:space="preserve"> But even then they were not able to make a case based on</w:t>
      </w:r>
      <w:r w:rsidR="000B7B9C">
        <w:t xml:space="preserve"> </w:t>
      </w:r>
      <w:r w:rsidRPr="005316C8">
        <w:t>specific charges of documented violations of legally constituted authority.</w:t>
      </w:r>
    </w:p>
  </w:endnote>
  <w:endnote w:id="62">
    <w:p w:rsidR="008C02BB" w:rsidRDefault="008C02BB" w:rsidP="000B7B9C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On page 117 of </w:t>
      </w:r>
      <w:r w:rsidRPr="007031B1">
        <w:rPr>
          <w:i/>
          <w:iCs/>
        </w:rPr>
        <w:t>Concept</w:t>
      </w:r>
      <w:r w:rsidRPr="005316C8">
        <w:t xml:space="preserve">, speaking of the defenders of </w:t>
      </w:r>
      <w:r w:rsidRPr="007031B1">
        <w:rPr>
          <w:u w:val="single"/>
        </w:rPr>
        <w:t>Sh</w:t>
      </w:r>
      <w:r w:rsidRPr="005316C8">
        <w:t>ay</w:t>
      </w:r>
      <w:r w:rsidRPr="007031B1">
        <w:rPr>
          <w:u w:val="single"/>
        </w:rPr>
        <w:t>kh</w:t>
      </w:r>
      <w:r w:rsidRPr="005316C8">
        <w:t xml:space="preserve"> Ṭabarsí, MacEoin</w:t>
      </w:r>
      <w:r w:rsidR="000B7B9C">
        <w:t xml:space="preserve"> </w:t>
      </w:r>
      <w:r w:rsidRPr="005316C8">
        <w:t>accuses the Bábís of ‘</w:t>
      </w:r>
      <w:r>
        <w:t>…</w:t>
      </w:r>
      <w:r w:rsidRPr="005316C8">
        <w:t xml:space="preserve"> showing great brutality not only to the hostile soldiery</w:t>
      </w:r>
      <w:r w:rsidR="000B7B9C">
        <w:t xml:space="preserve"> </w:t>
      </w:r>
      <w:r w:rsidRPr="005316C8">
        <w:t>but to civilians in the region as well.’  This undocumented and unsupported</w:t>
      </w:r>
      <w:r w:rsidR="000B7B9C">
        <w:t xml:space="preserve"> </w:t>
      </w:r>
      <w:r w:rsidRPr="005316C8">
        <w:t xml:space="preserve">accusation by MacEoin is particularly gratuitous and unscholarly. </w:t>
      </w:r>
      <w:r>
        <w:t xml:space="preserve"> </w:t>
      </w:r>
      <w:r w:rsidRPr="005316C8">
        <w:t>There are in</w:t>
      </w:r>
      <w:r w:rsidR="000B7B9C">
        <w:t xml:space="preserve"> </w:t>
      </w:r>
      <w:r w:rsidRPr="005316C8">
        <w:t>fact a number of such summary, unsupported judgements throughout the paper.</w:t>
      </w:r>
    </w:p>
  </w:endnote>
  <w:endnote w:id="63">
    <w:p w:rsidR="008C02BB" w:rsidRDefault="008C02BB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Nabíl, op. cit., p. 396.</w:t>
      </w:r>
    </w:p>
  </w:endnote>
  <w:endnote w:id="64">
    <w:p w:rsidR="00C31222" w:rsidRDefault="00C31222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 xml:space="preserve">From the official government gazette, the </w:t>
      </w:r>
      <w:r w:rsidRPr="00C31222">
        <w:rPr>
          <w:i/>
          <w:iCs/>
        </w:rPr>
        <w:t>Rúznámiy-i-Vaqáyi‘-i-Ittifáqiyyih</w:t>
      </w:r>
      <w:r w:rsidRPr="005316C8">
        <w:t>,</w:t>
      </w:r>
      <w:r w:rsidR="000B7B9C">
        <w:t xml:space="preserve"> </w:t>
      </w:r>
      <w:r w:rsidRPr="005316C8">
        <w:t>quoted in Momen 1981, p. 141.</w:t>
      </w:r>
    </w:p>
  </w:endnote>
  <w:endnote w:id="65">
    <w:p w:rsidR="00C31222" w:rsidRDefault="00C31222">
      <w:pPr>
        <w:pStyle w:val="EndnoteText"/>
      </w:pPr>
      <w:r>
        <w:rPr>
          <w:rStyle w:val="EndnoteReference"/>
        </w:rPr>
        <w:endnoteRef/>
      </w:r>
      <w:r>
        <w:tab/>
      </w:r>
      <w:r w:rsidRPr="005316C8">
        <w:t>Quoted in Momen 1981, p. 139.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0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924" w:rsidRDefault="00536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B9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B1" w:rsidRDefault="007031B1" w:rsidP="007031B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01B9E"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C9" w:rsidRDefault="009924C9" w:rsidP="00E41271">
      <w:r>
        <w:separator/>
      </w:r>
    </w:p>
  </w:footnote>
  <w:footnote w:type="continuationSeparator" w:id="0">
    <w:p w:rsidR="009924C9" w:rsidRDefault="009924C9" w:rsidP="00E41271">
      <w:r>
        <w:continuationSeparator/>
      </w:r>
    </w:p>
  </w:footnote>
  <w:footnote w:id="1">
    <w:p w:rsidR="00B76AD7" w:rsidRPr="00B76AD7" w:rsidRDefault="00B76A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5316C8">
        <w:t>©</w:t>
      </w:r>
      <w:r>
        <w:t xml:space="preserve"> </w:t>
      </w:r>
      <w:r w:rsidRPr="005316C8">
        <w:t>1985 Academic Press Inc. (London) Ltd.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2B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2A2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E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49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006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D09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BE3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E5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CA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44F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C90D67"/>
    <w:multiLevelType w:val="multilevel"/>
    <w:tmpl w:val="B44EA2F6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pos w:val="sectEnd"/>
    <w:numFmt w:val="decimal"/>
    <w:endnote w:id="-1"/>
    <w:endnote w:id="0"/>
  </w:endnotePr>
  <w:compat>
    <w:doNotExpandShiftReturn/>
    <w:suppressTopSpacing/>
    <w:suppressSpBfAfterPgBrk/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6"/>
    <w:rsid w:val="00000820"/>
    <w:rsid w:val="0000119A"/>
    <w:rsid w:val="0000186E"/>
    <w:rsid w:val="00001CF9"/>
    <w:rsid w:val="00002C1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081C"/>
    <w:rsid w:val="000111A8"/>
    <w:rsid w:val="0001175A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285"/>
    <w:rsid w:val="000205B9"/>
    <w:rsid w:val="00020A71"/>
    <w:rsid w:val="00020D29"/>
    <w:rsid w:val="00021682"/>
    <w:rsid w:val="0002341D"/>
    <w:rsid w:val="00024891"/>
    <w:rsid w:val="000248DC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7EF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0D6"/>
    <w:rsid w:val="000507C7"/>
    <w:rsid w:val="00050E14"/>
    <w:rsid w:val="000513D8"/>
    <w:rsid w:val="00051917"/>
    <w:rsid w:val="00051F68"/>
    <w:rsid w:val="00053C2B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49C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B9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2616"/>
    <w:rsid w:val="00093182"/>
    <w:rsid w:val="00094955"/>
    <w:rsid w:val="00095DEA"/>
    <w:rsid w:val="0009605F"/>
    <w:rsid w:val="000962D9"/>
    <w:rsid w:val="00096430"/>
    <w:rsid w:val="00096A62"/>
    <w:rsid w:val="00097317"/>
    <w:rsid w:val="00097600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4566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CEE"/>
    <w:rsid w:val="000B2F10"/>
    <w:rsid w:val="000B4483"/>
    <w:rsid w:val="000B589E"/>
    <w:rsid w:val="000B5BA9"/>
    <w:rsid w:val="000B5C22"/>
    <w:rsid w:val="000B7B9C"/>
    <w:rsid w:val="000C0883"/>
    <w:rsid w:val="000C0C85"/>
    <w:rsid w:val="000C2434"/>
    <w:rsid w:val="000C2658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494"/>
    <w:rsid w:val="000E687F"/>
    <w:rsid w:val="000E78C4"/>
    <w:rsid w:val="000F1030"/>
    <w:rsid w:val="000F14F1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85E"/>
    <w:rsid w:val="00103F69"/>
    <w:rsid w:val="001047BB"/>
    <w:rsid w:val="00105689"/>
    <w:rsid w:val="0010568F"/>
    <w:rsid w:val="00105C1E"/>
    <w:rsid w:val="001069EB"/>
    <w:rsid w:val="001078A7"/>
    <w:rsid w:val="001079A5"/>
    <w:rsid w:val="001106E6"/>
    <w:rsid w:val="00110B60"/>
    <w:rsid w:val="001118BE"/>
    <w:rsid w:val="00111C7C"/>
    <w:rsid w:val="00113009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3B2D"/>
    <w:rsid w:val="00124356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306"/>
    <w:rsid w:val="00137905"/>
    <w:rsid w:val="00137940"/>
    <w:rsid w:val="001404F2"/>
    <w:rsid w:val="001411E5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BC4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27E3"/>
    <w:rsid w:val="001831FD"/>
    <w:rsid w:val="001839B3"/>
    <w:rsid w:val="00183B9E"/>
    <w:rsid w:val="001856C8"/>
    <w:rsid w:val="00186026"/>
    <w:rsid w:val="00186282"/>
    <w:rsid w:val="0018665C"/>
    <w:rsid w:val="00186CA3"/>
    <w:rsid w:val="00186EE6"/>
    <w:rsid w:val="00187434"/>
    <w:rsid w:val="00190866"/>
    <w:rsid w:val="00190C2C"/>
    <w:rsid w:val="001911A7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5C3"/>
    <w:rsid w:val="0019485F"/>
    <w:rsid w:val="0019526D"/>
    <w:rsid w:val="0019533A"/>
    <w:rsid w:val="00195759"/>
    <w:rsid w:val="0019724F"/>
    <w:rsid w:val="0019731B"/>
    <w:rsid w:val="00197879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EEF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5DC2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04A0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330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A8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2B92"/>
    <w:rsid w:val="0025369F"/>
    <w:rsid w:val="0025413E"/>
    <w:rsid w:val="002541EF"/>
    <w:rsid w:val="0025463F"/>
    <w:rsid w:val="0025483B"/>
    <w:rsid w:val="0025653D"/>
    <w:rsid w:val="0025665D"/>
    <w:rsid w:val="002568AD"/>
    <w:rsid w:val="00256C72"/>
    <w:rsid w:val="00256C80"/>
    <w:rsid w:val="0026164B"/>
    <w:rsid w:val="00261C48"/>
    <w:rsid w:val="00261E1A"/>
    <w:rsid w:val="00261EBA"/>
    <w:rsid w:val="00262AB8"/>
    <w:rsid w:val="002632E3"/>
    <w:rsid w:val="00264824"/>
    <w:rsid w:val="00264B27"/>
    <w:rsid w:val="00264E0A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1B7E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06A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27D"/>
    <w:rsid w:val="00290410"/>
    <w:rsid w:val="00290882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1D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4A91"/>
    <w:rsid w:val="002C50F7"/>
    <w:rsid w:val="002C5A3F"/>
    <w:rsid w:val="002C78C3"/>
    <w:rsid w:val="002C7D3F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935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466A"/>
    <w:rsid w:val="002E52CD"/>
    <w:rsid w:val="002E723E"/>
    <w:rsid w:val="002E72ED"/>
    <w:rsid w:val="002E73DF"/>
    <w:rsid w:val="002E7943"/>
    <w:rsid w:val="002E7BAA"/>
    <w:rsid w:val="002F1234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806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4051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54F"/>
    <w:rsid w:val="00344ACD"/>
    <w:rsid w:val="00344F62"/>
    <w:rsid w:val="00344FA3"/>
    <w:rsid w:val="00345116"/>
    <w:rsid w:val="003451C0"/>
    <w:rsid w:val="00345AA1"/>
    <w:rsid w:val="00346899"/>
    <w:rsid w:val="00346E06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1F7E"/>
    <w:rsid w:val="003529FD"/>
    <w:rsid w:val="00353F03"/>
    <w:rsid w:val="00354BDE"/>
    <w:rsid w:val="00354F22"/>
    <w:rsid w:val="00355C4E"/>
    <w:rsid w:val="00355F03"/>
    <w:rsid w:val="00355F44"/>
    <w:rsid w:val="003564E7"/>
    <w:rsid w:val="00356FE6"/>
    <w:rsid w:val="0035741C"/>
    <w:rsid w:val="00357426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67DB7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0B49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5DFE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1AA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5C2F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660"/>
    <w:rsid w:val="003C69B2"/>
    <w:rsid w:val="003C7960"/>
    <w:rsid w:val="003D05A7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3E56"/>
    <w:rsid w:val="003E429E"/>
    <w:rsid w:val="003E4404"/>
    <w:rsid w:val="003E4965"/>
    <w:rsid w:val="003E4D89"/>
    <w:rsid w:val="003E6B86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943"/>
    <w:rsid w:val="00401D53"/>
    <w:rsid w:val="00401FA7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836"/>
    <w:rsid w:val="00413D9E"/>
    <w:rsid w:val="00414E59"/>
    <w:rsid w:val="004152FF"/>
    <w:rsid w:val="0041576C"/>
    <w:rsid w:val="00415D1E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6A8A"/>
    <w:rsid w:val="00427093"/>
    <w:rsid w:val="00427D40"/>
    <w:rsid w:val="0043011E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19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4FF5"/>
    <w:rsid w:val="00455131"/>
    <w:rsid w:val="00455E7B"/>
    <w:rsid w:val="0045611E"/>
    <w:rsid w:val="00456CD0"/>
    <w:rsid w:val="00460AD0"/>
    <w:rsid w:val="00460B7D"/>
    <w:rsid w:val="00460E25"/>
    <w:rsid w:val="00460F4A"/>
    <w:rsid w:val="00461167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8E9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4D3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1B6C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50D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695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671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30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555A"/>
    <w:rsid w:val="00515872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5C6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0E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924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478C6"/>
    <w:rsid w:val="00551407"/>
    <w:rsid w:val="00553A70"/>
    <w:rsid w:val="00554073"/>
    <w:rsid w:val="0055429F"/>
    <w:rsid w:val="00554580"/>
    <w:rsid w:val="005553F6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A83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17F0"/>
    <w:rsid w:val="0058180E"/>
    <w:rsid w:val="00582952"/>
    <w:rsid w:val="00582AA4"/>
    <w:rsid w:val="00583218"/>
    <w:rsid w:val="005832B6"/>
    <w:rsid w:val="00583743"/>
    <w:rsid w:val="0058440B"/>
    <w:rsid w:val="005847A7"/>
    <w:rsid w:val="00585156"/>
    <w:rsid w:val="0058520C"/>
    <w:rsid w:val="0058631B"/>
    <w:rsid w:val="00586990"/>
    <w:rsid w:val="00587823"/>
    <w:rsid w:val="00590352"/>
    <w:rsid w:val="00590E35"/>
    <w:rsid w:val="00591194"/>
    <w:rsid w:val="005915D1"/>
    <w:rsid w:val="00591738"/>
    <w:rsid w:val="00591788"/>
    <w:rsid w:val="005919F8"/>
    <w:rsid w:val="00591F80"/>
    <w:rsid w:val="00592C49"/>
    <w:rsid w:val="00592E97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117F"/>
    <w:rsid w:val="005B33D0"/>
    <w:rsid w:val="005B37F2"/>
    <w:rsid w:val="005B3B68"/>
    <w:rsid w:val="005B3F29"/>
    <w:rsid w:val="005B4803"/>
    <w:rsid w:val="005B4E76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C4E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678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DB1"/>
    <w:rsid w:val="00601E79"/>
    <w:rsid w:val="00602FB8"/>
    <w:rsid w:val="006033F9"/>
    <w:rsid w:val="00603D7C"/>
    <w:rsid w:val="00604F9F"/>
    <w:rsid w:val="00606ABF"/>
    <w:rsid w:val="00606ED3"/>
    <w:rsid w:val="00607749"/>
    <w:rsid w:val="00607B23"/>
    <w:rsid w:val="00607C9C"/>
    <w:rsid w:val="006104C9"/>
    <w:rsid w:val="0061093A"/>
    <w:rsid w:val="00612650"/>
    <w:rsid w:val="00612E8D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0CC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27EA0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37BA5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6C6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5ABC"/>
    <w:rsid w:val="00655EE1"/>
    <w:rsid w:val="0065610C"/>
    <w:rsid w:val="0065627D"/>
    <w:rsid w:val="00657975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840"/>
    <w:rsid w:val="00672BDB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20C4"/>
    <w:rsid w:val="00693180"/>
    <w:rsid w:val="00693803"/>
    <w:rsid w:val="006938CC"/>
    <w:rsid w:val="00694937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AA3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0C"/>
    <w:rsid w:val="006B4433"/>
    <w:rsid w:val="006B4901"/>
    <w:rsid w:val="006B4D5D"/>
    <w:rsid w:val="006B6708"/>
    <w:rsid w:val="006B6AB6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2C8"/>
    <w:rsid w:val="006F7C0D"/>
    <w:rsid w:val="007009BA"/>
    <w:rsid w:val="0070156D"/>
    <w:rsid w:val="00701AA3"/>
    <w:rsid w:val="0070206C"/>
    <w:rsid w:val="00702C3F"/>
    <w:rsid w:val="007030D2"/>
    <w:rsid w:val="007031B1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0E91"/>
    <w:rsid w:val="00722A80"/>
    <w:rsid w:val="00722AC0"/>
    <w:rsid w:val="007239A8"/>
    <w:rsid w:val="00723BE3"/>
    <w:rsid w:val="00725459"/>
    <w:rsid w:val="00727718"/>
    <w:rsid w:val="00727E41"/>
    <w:rsid w:val="00727F74"/>
    <w:rsid w:val="007303C8"/>
    <w:rsid w:val="007306A6"/>
    <w:rsid w:val="007318B3"/>
    <w:rsid w:val="00731A13"/>
    <w:rsid w:val="00731BEE"/>
    <w:rsid w:val="0073312C"/>
    <w:rsid w:val="00733441"/>
    <w:rsid w:val="0073357A"/>
    <w:rsid w:val="007336A8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73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A63"/>
    <w:rsid w:val="00755BF8"/>
    <w:rsid w:val="0075639C"/>
    <w:rsid w:val="0075641B"/>
    <w:rsid w:val="00756FAF"/>
    <w:rsid w:val="00757752"/>
    <w:rsid w:val="00757EE9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4E4"/>
    <w:rsid w:val="00771FE9"/>
    <w:rsid w:val="007725A5"/>
    <w:rsid w:val="007725C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048"/>
    <w:rsid w:val="00783298"/>
    <w:rsid w:val="007838E6"/>
    <w:rsid w:val="00783A56"/>
    <w:rsid w:val="00783FE5"/>
    <w:rsid w:val="007842DE"/>
    <w:rsid w:val="007848A8"/>
    <w:rsid w:val="00784CB0"/>
    <w:rsid w:val="00784D81"/>
    <w:rsid w:val="007856F6"/>
    <w:rsid w:val="00785DD0"/>
    <w:rsid w:val="0078624C"/>
    <w:rsid w:val="00786568"/>
    <w:rsid w:val="00786B00"/>
    <w:rsid w:val="00786CE1"/>
    <w:rsid w:val="00787B81"/>
    <w:rsid w:val="00787C83"/>
    <w:rsid w:val="00790021"/>
    <w:rsid w:val="00790D0A"/>
    <w:rsid w:val="00790F5B"/>
    <w:rsid w:val="00792325"/>
    <w:rsid w:val="0079362A"/>
    <w:rsid w:val="00793F3E"/>
    <w:rsid w:val="007950D3"/>
    <w:rsid w:val="00796B9D"/>
    <w:rsid w:val="00797CD6"/>
    <w:rsid w:val="007A090A"/>
    <w:rsid w:val="007A0CEF"/>
    <w:rsid w:val="007A0E0A"/>
    <w:rsid w:val="007A0F8F"/>
    <w:rsid w:val="007A150C"/>
    <w:rsid w:val="007A2D81"/>
    <w:rsid w:val="007A3FFB"/>
    <w:rsid w:val="007A48D5"/>
    <w:rsid w:val="007A67CC"/>
    <w:rsid w:val="007A73C8"/>
    <w:rsid w:val="007A79B4"/>
    <w:rsid w:val="007B0E67"/>
    <w:rsid w:val="007B0E95"/>
    <w:rsid w:val="007B1811"/>
    <w:rsid w:val="007B227A"/>
    <w:rsid w:val="007B29EE"/>
    <w:rsid w:val="007B2ED0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A08"/>
    <w:rsid w:val="007C4B75"/>
    <w:rsid w:val="007C4BBB"/>
    <w:rsid w:val="007C4C55"/>
    <w:rsid w:val="007C4CA1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D7848"/>
    <w:rsid w:val="007E0074"/>
    <w:rsid w:val="007E03DF"/>
    <w:rsid w:val="007E0E0C"/>
    <w:rsid w:val="007E2250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B5B"/>
    <w:rsid w:val="00800CAC"/>
    <w:rsid w:val="0080106D"/>
    <w:rsid w:val="00801889"/>
    <w:rsid w:val="00801B9E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885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6FA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4D1B"/>
    <w:rsid w:val="00855CF1"/>
    <w:rsid w:val="008562AA"/>
    <w:rsid w:val="00856692"/>
    <w:rsid w:val="008575B5"/>
    <w:rsid w:val="00857A26"/>
    <w:rsid w:val="00857BA8"/>
    <w:rsid w:val="00857FEF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A15"/>
    <w:rsid w:val="00870CCA"/>
    <w:rsid w:val="00871A06"/>
    <w:rsid w:val="00871B42"/>
    <w:rsid w:val="008727C6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F5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4E7B"/>
    <w:rsid w:val="00885B77"/>
    <w:rsid w:val="00885C4F"/>
    <w:rsid w:val="0088665B"/>
    <w:rsid w:val="00886B31"/>
    <w:rsid w:val="00886D22"/>
    <w:rsid w:val="00886F5A"/>
    <w:rsid w:val="00887D34"/>
    <w:rsid w:val="0089038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2BB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7DF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AA3"/>
    <w:rsid w:val="008D6FFE"/>
    <w:rsid w:val="008D70A0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BC"/>
    <w:rsid w:val="008E75DC"/>
    <w:rsid w:val="008F0267"/>
    <w:rsid w:val="008F0F5E"/>
    <w:rsid w:val="008F1470"/>
    <w:rsid w:val="008F2244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8F70EA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6EEC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1B6A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3795F"/>
    <w:rsid w:val="009405E0"/>
    <w:rsid w:val="0094072F"/>
    <w:rsid w:val="009410AA"/>
    <w:rsid w:val="0094201D"/>
    <w:rsid w:val="00942586"/>
    <w:rsid w:val="00944481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0F6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57CE4"/>
    <w:rsid w:val="009601ED"/>
    <w:rsid w:val="00960281"/>
    <w:rsid w:val="00961545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24C9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7D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3D72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30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1C8"/>
    <w:rsid w:val="009C423A"/>
    <w:rsid w:val="009C55A3"/>
    <w:rsid w:val="009C5D44"/>
    <w:rsid w:val="009C7707"/>
    <w:rsid w:val="009C7B48"/>
    <w:rsid w:val="009D1550"/>
    <w:rsid w:val="009D25EC"/>
    <w:rsid w:val="009D274C"/>
    <w:rsid w:val="009D28C2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4B6"/>
    <w:rsid w:val="00A11555"/>
    <w:rsid w:val="00A11FE0"/>
    <w:rsid w:val="00A129AB"/>
    <w:rsid w:val="00A1324F"/>
    <w:rsid w:val="00A13D53"/>
    <w:rsid w:val="00A14064"/>
    <w:rsid w:val="00A14DEC"/>
    <w:rsid w:val="00A15198"/>
    <w:rsid w:val="00A1538F"/>
    <w:rsid w:val="00A15395"/>
    <w:rsid w:val="00A15C52"/>
    <w:rsid w:val="00A16052"/>
    <w:rsid w:val="00A16951"/>
    <w:rsid w:val="00A1766F"/>
    <w:rsid w:val="00A17777"/>
    <w:rsid w:val="00A179BC"/>
    <w:rsid w:val="00A17E05"/>
    <w:rsid w:val="00A20DD7"/>
    <w:rsid w:val="00A20F51"/>
    <w:rsid w:val="00A212F2"/>
    <w:rsid w:val="00A2195F"/>
    <w:rsid w:val="00A21D04"/>
    <w:rsid w:val="00A22D49"/>
    <w:rsid w:val="00A23334"/>
    <w:rsid w:val="00A23658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AD7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47C9B"/>
    <w:rsid w:val="00A47E27"/>
    <w:rsid w:val="00A505DD"/>
    <w:rsid w:val="00A5112C"/>
    <w:rsid w:val="00A51975"/>
    <w:rsid w:val="00A52A28"/>
    <w:rsid w:val="00A53E3D"/>
    <w:rsid w:val="00A54270"/>
    <w:rsid w:val="00A544E2"/>
    <w:rsid w:val="00A549B8"/>
    <w:rsid w:val="00A55E99"/>
    <w:rsid w:val="00A566D2"/>
    <w:rsid w:val="00A5736E"/>
    <w:rsid w:val="00A57B7A"/>
    <w:rsid w:val="00A6139E"/>
    <w:rsid w:val="00A61721"/>
    <w:rsid w:val="00A61922"/>
    <w:rsid w:val="00A62268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034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36B6"/>
    <w:rsid w:val="00A9400C"/>
    <w:rsid w:val="00A95128"/>
    <w:rsid w:val="00A95E03"/>
    <w:rsid w:val="00A974B8"/>
    <w:rsid w:val="00A976C4"/>
    <w:rsid w:val="00A97AC2"/>
    <w:rsid w:val="00A97E80"/>
    <w:rsid w:val="00A97F6A"/>
    <w:rsid w:val="00AA0441"/>
    <w:rsid w:val="00AA2A98"/>
    <w:rsid w:val="00AA3472"/>
    <w:rsid w:val="00AA370E"/>
    <w:rsid w:val="00AA4023"/>
    <w:rsid w:val="00AA4BDA"/>
    <w:rsid w:val="00AA4DA8"/>
    <w:rsid w:val="00AA59C5"/>
    <w:rsid w:val="00AA5EAD"/>
    <w:rsid w:val="00AA672A"/>
    <w:rsid w:val="00AA68EB"/>
    <w:rsid w:val="00AA6F52"/>
    <w:rsid w:val="00AA7894"/>
    <w:rsid w:val="00AB0095"/>
    <w:rsid w:val="00AB0CFB"/>
    <w:rsid w:val="00AB0D84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6FC1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D79A1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186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1D5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3C7"/>
    <w:rsid w:val="00B216F5"/>
    <w:rsid w:val="00B22E11"/>
    <w:rsid w:val="00B2320A"/>
    <w:rsid w:val="00B234D3"/>
    <w:rsid w:val="00B23B06"/>
    <w:rsid w:val="00B2421A"/>
    <w:rsid w:val="00B24E90"/>
    <w:rsid w:val="00B25591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A7E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53A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AB4"/>
    <w:rsid w:val="00B54FC3"/>
    <w:rsid w:val="00B5550B"/>
    <w:rsid w:val="00B55AAD"/>
    <w:rsid w:val="00B56441"/>
    <w:rsid w:val="00B56DF0"/>
    <w:rsid w:val="00B56F26"/>
    <w:rsid w:val="00B56F41"/>
    <w:rsid w:val="00B57288"/>
    <w:rsid w:val="00B574BA"/>
    <w:rsid w:val="00B5756F"/>
    <w:rsid w:val="00B576E7"/>
    <w:rsid w:val="00B577A6"/>
    <w:rsid w:val="00B57AE6"/>
    <w:rsid w:val="00B60A61"/>
    <w:rsid w:val="00B61693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3848"/>
    <w:rsid w:val="00B75DE7"/>
    <w:rsid w:val="00B76076"/>
    <w:rsid w:val="00B76078"/>
    <w:rsid w:val="00B761B9"/>
    <w:rsid w:val="00B7680D"/>
    <w:rsid w:val="00B76979"/>
    <w:rsid w:val="00B76AD7"/>
    <w:rsid w:val="00B76BF3"/>
    <w:rsid w:val="00B80653"/>
    <w:rsid w:val="00B8080D"/>
    <w:rsid w:val="00B8237E"/>
    <w:rsid w:val="00B82919"/>
    <w:rsid w:val="00B8297C"/>
    <w:rsid w:val="00B83602"/>
    <w:rsid w:val="00B8530E"/>
    <w:rsid w:val="00B85ADB"/>
    <w:rsid w:val="00B85D37"/>
    <w:rsid w:val="00B86209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1F5F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B8F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734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3B77"/>
    <w:rsid w:val="00C04193"/>
    <w:rsid w:val="00C0471E"/>
    <w:rsid w:val="00C04C0E"/>
    <w:rsid w:val="00C051AC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7F7"/>
    <w:rsid w:val="00C17CD6"/>
    <w:rsid w:val="00C207F9"/>
    <w:rsid w:val="00C2143A"/>
    <w:rsid w:val="00C2295F"/>
    <w:rsid w:val="00C2331D"/>
    <w:rsid w:val="00C23671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2789C"/>
    <w:rsid w:val="00C30109"/>
    <w:rsid w:val="00C305CF"/>
    <w:rsid w:val="00C3086C"/>
    <w:rsid w:val="00C309D6"/>
    <w:rsid w:val="00C30ACB"/>
    <w:rsid w:val="00C30E84"/>
    <w:rsid w:val="00C31222"/>
    <w:rsid w:val="00C3144B"/>
    <w:rsid w:val="00C31CD2"/>
    <w:rsid w:val="00C3248C"/>
    <w:rsid w:val="00C32618"/>
    <w:rsid w:val="00C32D50"/>
    <w:rsid w:val="00C32F0C"/>
    <w:rsid w:val="00C33742"/>
    <w:rsid w:val="00C345D6"/>
    <w:rsid w:val="00C35490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D54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587F"/>
    <w:rsid w:val="00C9633D"/>
    <w:rsid w:val="00C963A6"/>
    <w:rsid w:val="00C969E0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0D8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753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5D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9F2"/>
    <w:rsid w:val="00CD1B21"/>
    <w:rsid w:val="00CD2507"/>
    <w:rsid w:val="00CD345B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A93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2CE"/>
    <w:rsid w:val="00D209E9"/>
    <w:rsid w:val="00D20F80"/>
    <w:rsid w:val="00D2196A"/>
    <w:rsid w:val="00D21C7C"/>
    <w:rsid w:val="00D21D75"/>
    <w:rsid w:val="00D21DBF"/>
    <w:rsid w:val="00D2256F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376BA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783"/>
    <w:rsid w:val="00D8137B"/>
    <w:rsid w:val="00D813B3"/>
    <w:rsid w:val="00D818CE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0CF"/>
    <w:rsid w:val="00D85E65"/>
    <w:rsid w:val="00D86978"/>
    <w:rsid w:val="00D86F9A"/>
    <w:rsid w:val="00D87D86"/>
    <w:rsid w:val="00D9039D"/>
    <w:rsid w:val="00D90C7D"/>
    <w:rsid w:val="00D90F8D"/>
    <w:rsid w:val="00D910B8"/>
    <w:rsid w:val="00D91560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0E5"/>
    <w:rsid w:val="00DA547B"/>
    <w:rsid w:val="00DA5949"/>
    <w:rsid w:val="00DA597F"/>
    <w:rsid w:val="00DA5D18"/>
    <w:rsid w:val="00DA5DCA"/>
    <w:rsid w:val="00DA6B2E"/>
    <w:rsid w:val="00DA6DB1"/>
    <w:rsid w:val="00DA6FF2"/>
    <w:rsid w:val="00DA7567"/>
    <w:rsid w:val="00DA7C33"/>
    <w:rsid w:val="00DB1B10"/>
    <w:rsid w:val="00DB1DF5"/>
    <w:rsid w:val="00DB2158"/>
    <w:rsid w:val="00DB2A21"/>
    <w:rsid w:val="00DB2D00"/>
    <w:rsid w:val="00DB324F"/>
    <w:rsid w:val="00DB3A7E"/>
    <w:rsid w:val="00DB3BB1"/>
    <w:rsid w:val="00DB42A5"/>
    <w:rsid w:val="00DB45E2"/>
    <w:rsid w:val="00DB4DFA"/>
    <w:rsid w:val="00DB51F6"/>
    <w:rsid w:val="00DB5465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1998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997"/>
    <w:rsid w:val="00DE1A38"/>
    <w:rsid w:val="00DE2318"/>
    <w:rsid w:val="00DE2CBB"/>
    <w:rsid w:val="00DE39F5"/>
    <w:rsid w:val="00DE41D7"/>
    <w:rsid w:val="00DE54FD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3A42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841"/>
    <w:rsid w:val="00E13AFA"/>
    <w:rsid w:val="00E13BCB"/>
    <w:rsid w:val="00E13D25"/>
    <w:rsid w:val="00E1403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0BC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6DED"/>
    <w:rsid w:val="00E27865"/>
    <w:rsid w:val="00E27DDF"/>
    <w:rsid w:val="00E308AF"/>
    <w:rsid w:val="00E3162E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271"/>
    <w:rsid w:val="00E416DC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4C23"/>
    <w:rsid w:val="00E5553D"/>
    <w:rsid w:val="00E5607D"/>
    <w:rsid w:val="00E563E6"/>
    <w:rsid w:val="00E564AE"/>
    <w:rsid w:val="00E57348"/>
    <w:rsid w:val="00E57562"/>
    <w:rsid w:val="00E575B1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CF5"/>
    <w:rsid w:val="00E66D35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5FCD"/>
    <w:rsid w:val="00E76038"/>
    <w:rsid w:val="00E7682D"/>
    <w:rsid w:val="00E76C80"/>
    <w:rsid w:val="00E76F24"/>
    <w:rsid w:val="00E775CD"/>
    <w:rsid w:val="00E77619"/>
    <w:rsid w:val="00E7789A"/>
    <w:rsid w:val="00E80227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5EB1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4C30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845"/>
    <w:rsid w:val="00EC3D16"/>
    <w:rsid w:val="00EC44B6"/>
    <w:rsid w:val="00EC46F9"/>
    <w:rsid w:val="00EC5C7B"/>
    <w:rsid w:val="00EC6102"/>
    <w:rsid w:val="00EC6B7F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009"/>
    <w:rsid w:val="00ED74E8"/>
    <w:rsid w:val="00ED7D73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827"/>
    <w:rsid w:val="00EF2EEE"/>
    <w:rsid w:val="00EF422B"/>
    <w:rsid w:val="00EF4368"/>
    <w:rsid w:val="00EF4B95"/>
    <w:rsid w:val="00EF4DC4"/>
    <w:rsid w:val="00EF714F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6D8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B4C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0CF9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3BD"/>
    <w:rsid w:val="00F43850"/>
    <w:rsid w:val="00F44D49"/>
    <w:rsid w:val="00F45CEB"/>
    <w:rsid w:val="00F46691"/>
    <w:rsid w:val="00F467A3"/>
    <w:rsid w:val="00F46EA1"/>
    <w:rsid w:val="00F4729B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790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902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8E"/>
    <w:rsid w:val="00F92CDD"/>
    <w:rsid w:val="00F932EF"/>
    <w:rsid w:val="00F936A9"/>
    <w:rsid w:val="00F936CA"/>
    <w:rsid w:val="00F93B26"/>
    <w:rsid w:val="00F948D7"/>
    <w:rsid w:val="00F954D1"/>
    <w:rsid w:val="00F95933"/>
    <w:rsid w:val="00F95D4F"/>
    <w:rsid w:val="00F96AAB"/>
    <w:rsid w:val="00F9748B"/>
    <w:rsid w:val="00F9774A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3DC4"/>
    <w:rsid w:val="00FB4781"/>
    <w:rsid w:val="00FB6C17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26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5654"/>
    <w:rsid w:val="00FE64CC"/>
    <w:rsid w:val="00FE667F"/>
    <w:rsid w:val="00FE776F"/>
    <w:rsid w:val="00FE7A29"/>
    <w:rsid w:val="00FE7F96"/>
    <w:rsid w:val="00FF02BA"/>
    <w:rsid w:val="00FF0691"/>
    <w:rsid w:val="00FF088C"/>
    <w:rsid w:val="00FF114D"/>
    <w:rsid w:val="00FF1357"/>
    <w:rsid w:val="00FF13D7"/>
    <w:rsid w:val="00FF143B"/>
    <w:rsid w:val="00FF1EBA"/>
    <w:rsid w:val="00FF2CBE"/>
    <w:rsid w:val="00FF4DCC"/>
    <w:rsid w:val="00FF6385"/>
    <w:rsid w:val="00FF66E0"/>
    <w:rsid w:val="00FF6C04"/>
    <w:rsid w:val="00FF6CAB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caption" w:semiHidden="1" w:unhideWhenUsed="1" w:qFormat="1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30109"/>
    <w:rPr>
      <w:rFonts w:eastAsia="PMingLiU"/>
      <w:szCs w:val="22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401943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4219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character" w:customStyle="1" w:styleId="EndnoteTextChar">
    <w:name w:val="Endnote Text Char"/>
    <w:link w:val="EndnoteText"/>
    <w:rsid w:val="00442190"/>
    <w:rPr>
      <w:kern w:val="20"/>
      <w:sz w:val="18"/>
      <w:lang w:val="en-US"/>
      <w14:numForm w14:val="oldStyle"/>
      <w14:numSpacing w14:val="proportional"/>
    </w:rPr>
  </w:style>
  <w:style w:type="paragraph" w:styleId="Footer">
    <w:name w:val="footer"/>
    <w:basedOn w:val="Normal"/>
    <w:link w:val="FooterChar"/>
    <w:rsid w:val="00C23671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rsid w:val="00C23671"/>
    <w:rPr>
      <w:rFonts w:ascii="Calibri" w:hAnsi="Calibri"/>
      <w:sz w:val="18"/>
    </w:rPr>
  </w:style>
  <w:style w:type="character" w:styleId="FootnoteReference">
    <w:name w:val="footnote reference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F4729B"/>
    <w:pPr>
      <w:keepLines/>
      <w:widowControl w:val="0"/>
      <w:ind w:left="284" w:hanging="284"/>
      <w:jc w:val="both"/>
    </w:pPr>
    <w:rPr>
      <w:iCs/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F4729B"/>
    <w:rPr>
      <w:rFonts w:ascii="Cambria" w:eastAsia="PMingLiU" w:hAnsi="Cambria"/>
      <w:iCs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4954D3"/>
    <w:pPr>
      <w:spacing w:after="120"/>
      <w:jc w:val="center"/>
    </w:pPr>
    <w:rPr>
      <w:rFonts w:ascii="Calibri" w:hAnsi="Calibri"/>
      <w:kern w:val="20"/>
      <w:sz w:val="18"/>
    </w:rPr>
  </w:style>
  <w:style w:type="character" w:customStyle="1" w:styleId="HeaderChar">
    <w:name w:val="Header Char"/>
    <w:link w:val="Header"/>
    <w:rsid w:val="004954D3"/>
    <w:rPr>
      <w:rFonts w:ascii="Calibri" w:eastAsia="PMingLiU" w:hAnsi="Calibri"/>
      <w:kern w:val="20"/>
      <w:sz w:val="18"/>
      <w:szCs w:val="22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F30CF9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5E4678"/>
    <w:pPr>
      <w:widowControl w:val="0"/>
      <w:kinsoku w:val="0"/>
      <w:overflowPunct w:val="0"/>
      <w:spacing w:before="120"/>
      <w:ind w:left="567"/>
      <w:jc w:val="both"/>
      <w:textAlignment w:val="baseline"/>
    </w:pPr>
    <w:rPr>
      <w:rFonts w:eastAsiaTheme="minorHAnsi" w:cstheme="minorBidi"/>
      <w:iCs/>
      <w:sz w:val="18"/>
      <w:szCs w:val="20"/>
    </w:rPr>
  </w:style>
  <w:style w:type="character" w:customStyle="1" w:styleId="QuoteChar">
    <w:name w:val="Quote Char"/>
    <w:link w:val="Quote"/>
    <w:rsid w:val="005E4678"/>
    <w:rPr>
      <w:rFonts w:cstheme="minorBidi"/>
      <w:iCs/>
      <w:sz w:val="18"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A20F51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2750E"/>
    <w:pPr>
      <w:tabs>
        <w:tab w:val="right" w:pos="284"/>
        <w:tab w:val="left" w:pos="425"/>
        <w:tab w:val="right" w:leader="dot" w:pos="5727"/>
        <w:tab w:val="right" w:pos="6120"/>
      </w:tabs>
      <w:spacing w:before="120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rsid w:val="00733441"/>
    <w:rPr>
      <w:rFonts w:ascii="Cambria" w:hAnsi="Cambria"/>
      <w:noProof w:val="0"/>
      <w:sz w:val="2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197879"/>
    <w:pPr>
      <w:widowControl w:val="0"/>
      <w:kinsoku w:val="0"/>
      <w:overflowPunct w:val="0"/>
      <w:spacing w:before="120"/>
      <w:jc w:val="center"/>
      <w:textAlignment w:val="baseline"/>
    </w:pPr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eastAsia="PMingLiU" w:hAnsi="Cambria"/>
      <w:b/>
      <w:bCs/>
      <w:kern w:val="20"/>
      <w:sz w:val="16"/>
      <w:szCs w:val="22"/>
      <w:lang w:val="en-US"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401943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F4729B"/>
    <w:pPr>
      <w:tabs>
        <w:tab w:val="left" w:pos="284"/>
      </w:tabs>
      <w:kinsoku w:val="0"/>
      <w:overflowPunct w:val="0"/>
      <w:spacing w:before="120"/>
      <w:ind w:left="567" w:hanging="567"/>
      <w:jc w:val="both"/>
      <w:textAlignment w:val="baseline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F4729B"/>
    <w:pPr>
      <w:spacing w:before="0"/>
    </w:pPr>
  </w:style>
  <w:style w:type="character" w:customStyle="1" w:styleId="RodwellctsChar">
    <w:name w:val="Rodwellcts Char"/>
    <w:basedOn w:val="RodwellChar"/>
    <w:link w:val="Rodwellcts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Myhead3">
    <w:name w:val="Myhead3"/>
    <w:basedOn w:val="Normal"/>
    <w:rsid w:val="00582AA4"/>
    <w:pPr>
      <w:kinsoku w:val="0"/>
      <w:overflowPunct w:val="0"/>
      <w:spacing w:before="18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styleId="BalloonText">
    <w:name w:val="Balloon Text"/>
    <w:basedOn w:val="Normal"/>
    <w:link w:val="BalloonTextChar"/>
    <w:rsid w:val="00703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1B1"/>
    <w:rPr>
      <w:rFonts w:ascii="Tahoma" w:eastAsia="PMingLiU" w:hAnsi="Tahoma" w:cs="Tahoma"/>
      <w:sz w:val="16"/>
      <w:szCs w:val="16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caption" w:semiHidden="1" w:unhideWhenUsed="1" w:qFormat="1"/>
    <w:lsdException w:name="Default Paragraph Font" w:uiPriority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30109"/>
    <w:rPr>
      <w:rFonts w:eastAsia="PMingLiU"/>
      <w:szCs w:val="22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0F14F1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b/>
      <w:bCs/>
      <w:noProof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CAB"/>
    <w:pPr>
      <w:keepNext/>
      <w:spacing w:before="120"/>
      <w:outlineLvl w:val="1"/>
    </w:pPr>
    <w:rPr>
      <w:b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6CAB"/>
    <w:pPr>
      <w:keepNext/>
      <w:spacing w:before="120"/>
      <w:outlineLvl w:val="2"/>
    </w:pPr>
    <w:rPr>
      <w:rFonts w:cs="Arial"/>
      <w:b/>
      <w:bCs/>
      <w:i/>
      <w:noProof/>
    </w:rPr>
  </w:style>
  <w:style w:type="paragraph" w:styleId="Heading4">
    <w:name w:val="heading 4"/>
    <w:basedOn w:val="Normal"/>
    <w:next w:val="Normal"/>
    <w:rsid w:val="000407EF"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6C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6C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6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6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F14F1"/>
    <w:pPr>
      <w:ind w:left="425" w:hanging="425"/>
      <w:jc w:val="both"/>
    </w:pPr>
  </w:style>
  <w:style w:type="paragraph" w:customStyle="1" w:styleId="Text">
    <w:name w:val="Text"/>
    <w:basedOn w:val="Normal"/>
    <w:link w:val="TextChar"/>
    <w:qFormat/>
    <w:rsid w:val="00401943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BulletText">
    <w:name w:val="Bullet Text"/>
    <w:basedOn w:val="Text"/>
    <w:qFormat/>
    <w:rsid w:val="00B86209"/>
    <w:pPr>
      <w:ind w:left="284" w:hanging="284"/>
    </w:pPr>
    <w:rPr>
      <w:noProof/>
    </w:rPr>
  </w:style>
  <w:style w:type="paragraph" w:customStyle="1" w:styleId="Bullettextcont">
    <w:name w:val="Bullet text cont"/>
    <w:basedOn w:val="BulletText"/>
    <w:qFormat/>
    <w:rsid w:val="000F14F1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4F1"/>
    <w:rPr>
      <w:b/>
      <w:bCs/>
    </w:rPr>
  </w:style>
  <w:style w:type="character" w:customStyle="1" w:styleId="CommentSubjectChar">
    <w:name w:val="Comment Subject Char"/>
    <w:link w:val="CommentSubject"/>
    <w:rsid w:val="000F14F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44219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character" w:customStyle="1" w:styleId="EndnoteTextChar">
    <w:name w:val="Endnote Text Char"/>
    <w:link w:val="EndnoteText"/>
    <w:rsid w:val="00442190"/>
    <w:rPr>
      <w:kern w:val="20"/>
      <w:sz w:val="18"/>
      <w:lang w:val="en-US"/>
      <w14:numForm w14:val="oldStyle"/>
      <w14:numSpacing w14:val="proportional"/>
    </w:rPr>
  </w:style>
  <w:style w:type="paragraph" w:styleId="Footer">
    <w:name w:val="footer"/>
    <w:basedOn w:val="Normal"/>
    <w:link w:val="FooterChar"/>
    <w:rsid w:val="00C23671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rsid w:val="00C23671"/>
    <w:rPr>
      <w:rFonts w:ascii="Calibri" w:hAnsi="Calibri"/>
      <w:sz w:val="18"/>
    </w:rPr>
  </w:style>
  <w:style w:type="character" w:styleId="FootnoteReference">
    <w:name w:val="footnote reference"/>
    <w:rsid w:val="000F14F1"/>
    <w:rPr>
      <w:rFonts w:ascii="Cambria" w:hAnsi="Cambria" w:cs="Times New Roman"/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F4729B"/>
    <w:pPr>
      <w:keepLines/>
      <w:widowControl w:val="0"/>
      <w:ind w:left="284" w:hanging="284"/>
      <w:jc w:val="both"/>
    </w:pPr>
    <w:rPr>
      <w:iCs/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F4729B"/>
    <w:rPr>
      <w:rFonts w:ascii="Cambria" w:eastAsia="PMingLiU" w:hAnsi="Cambria"/>
      <w:iCs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4954D3"/>
    <w:pPr>
      <w:spacing w:after="120"/>
      <w:jc w:val="center"/>
    </w:pPr>
    <w:rPr>
      <w:rFonts w:ascii="Calibri" w:hAnsi="Calibri"/>
      <w:kern w:val="20"/>
      <w:sz w:val="18"/>
    </w:rPr>
  </w:style>
  <w:style w:type="character" w:customStyle="1" w:styleId="HeaderChar">
    <w:name w:val="Header Char"/>
    <w:link w:val="Header"/>
    <w:rsid w:val="004954D3"/>
    <w:rPr>
      <w:rFonts w:ascii="Calibri" w:eastAsia="PMingLiU" w:hAnsi="Calibri"/>
      <w:kern w:val="20"/>
      <w:sz w:val="18"/>
      <w:szCs w:val="22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0F14F1"/>
    <w:rPr>
      <w:rFonts w:ascii="Cambria" w:hAnsi="Cambria"/>
      <w:b/>
      <w:bCs/>
      <w:noProof/>
      <w:kern w:val="32"/>
      <w:sz w:val="24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FF6CAB"/>
    <w:rPr>
      <w:rFonts w:ascii="Cambria" w:hAnsi="Cambria"/>
      <w:b/>
      <w:noProof/>
      <w:sz w:val="24"/>
      <w:szCs w:val="24"/>
    </w:rPr>
  </w:style>
  <w:style w:type="character" w:customStyle="1" w:styleId="Heading3Char">
    <w:name w:val="Heading 3 Char"/>
    <w:link w:val="Heading3"/>
    <w:rsid w:val="00FF6CAB"/>
    <w:rPr>
      <w:rFonts w:ascii="Cambria" w:hAnsi="Cambria"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FF6CAB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F30CF9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0F14F1"/>
    <w:pPr>
      <w:jc w:val="right"/>
    </w:pPr>
  </w:style>
  <w:style w:type="paragraph" w:styleId="Quote">
    <w:name w:val="Quote"/>
    <w:basedOn w:val="Normal"/>
    <w:next w:val="Normal"/>
    <w:link w:val="QuoteChar"/>
    <w:qFormat/>
    <w:rsid w:val="005E4678"/>
    <w:pPr>
      <w:widowControl w:val="0"/>
      <w:kinsoku w:val="0"/>
      <w:overflowPunct w:val="0"/>
      <w:spacing w:before="120"/>
      <w:ind w:left="567"/>
      <w:jc w:val="both"/>
      <w:textAlignment w:val="baseline"/>
    </w:pPr>
    <w:rPr>
      <w:rFonts w:eastAsiaTheme="minorHAnsi" w:cstheme="minorBidi"/>
      <w:iCs/>
      <w:sz w:val="18"/>
      <w:szCs w:val="20"/>
    </w:rPr>
  </w:style>
  <w:style w:type="character" w:customStyle="1" w:styleId="QuoteChar">
    <w:name w:val="Quote Char"/>
    <w:link w:val="Quote"/>
    <w:rsid w:val="005E4678"/>
    <w:rPr>
      <w:rFonts w:cstheme="minorBidi"/>
      <w:iCs/>
      <w:sz w:val="18"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A20F51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customStyle="1" w:styleId="Ref">
    <w:name w:val="Ref"/>
    <w:basedOn w:val="Normal"/>
    <w:link w:val="RefChar"/>
    <w:rsid w:val="000F14F1"/>
    <w:pPr>
      <w:tabs>
        <w:tab w:val="left" w:pos="3402"/>
      </w:tabs>
      <w:spacing w:before="120"/>
      <w:ind w:left="1134" w:hanging="1134"/>
      <w:jc w:val="both"/>
    </w:pPr>
  </w:style>
  <w:style w:type="character" w:customStyle="1" w:styleId="RefChar">
    <w:name w:val="Ref Char"/>
    <w:link w:val="Ref"/>
    <w:rsid w:val="000F14F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0F14F1"/>
    <w:pPr>
      <w:tabs>
        <w:tab w:val="left" w:pos="284"/>
        <w:tab w:val="left" w:pos="567"/>
      </w:tabs>
      <w:spacing w:before="0"/>
      <w:ind w:left="284" w:hanging="284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lang w:val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0F14F1"/>
    <w:rPr>
      <w14:numSpacing w14:val="tabular"/>
    </w:rPr>
  </w:style>
  <w:style w:type="paragraph" w:customStyle="1" w:styleId="Textcts">
    <w:name w:val="Textcts"/>
    <w:basedOn w:val="Text"/>
    <w:qFormat/>
    <w:rsid w:val="0069493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52750E"/>
    <w:pPr>
      <w:tabs>
        <w:tab w:val="right" w:pos="284"/>
        <w:tab w:val="left" w:pos="425"/>
        <w:tab w:val="right" w:leader="dot" w:pos="5727"/>
        <w:tab w:val="right" w:pos="6120"/>
      </w:tabs>
      <w:spacing w:before="120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755A63"/>
    <w:pPr>
      <w:tabs>
        <w:tab w:val="left" w:pos="720"/>
        <w:tab w:val="right" w:leader="dot" w:pos="5727"/>
        <w:tab w:val="right" w:pos="6120"/>
      </w:tabs>
      <w:ind w:left="284"/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755A63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uiPriority w:val="39"/>
    <w:rsid w:val="006920C4"/>
    <w:pPr>
      <w:tabs>
        <w:tab w:val="right" w:leader="dot" w:pos="7474"/>
      </w:tabs>
      <w:ind w:left="1276"/>
    </w:pPr>
    <w:rPr>
      <w14:numSpacing w14:val="tabular"/>
    </w:rPr>
  </w:style>
  <w:style w:type="character" w:styleId="EndnoteReference">
    <w:name w:val="endnote reference"/>
    <w:rsid w:val="00733441"/>
    <w:rPr>
      <w:rFonts w:ascii="Cambria" w:hAnsi="Cambria"/>
      <w:noProof w:val="0"/>
      <w:sz w:val="20"/>
      <w:vertAlign w:val="superscript"/>
      <w:lang w:val="en-GB"/>
      <w14:numForm w14:val="oldStyle"/>
      <w14:numSpacing w14:val="proportional"/>
    </w:rPr>
  </w:style>
  <w:style w:type="paragraph" w:customStyle="1" w:styleId="Economistheading">
    <w:name w:val="Economist heading"/>
    <w:basedOn w:val="Normal"/>
    <w:link w:val="EconomistheadingChar"/>
    <w:rsid w:val="000F14F1"/>
    <w:pPr>
      <w:keepNext/>
      <w:spacing w:before="120"/>
      <w:jc w:val="center"/>
      <w:outlineLvl w:val="1"/>
    </w:pPr>
    <w:rPr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0F14F1"/>
    <w:rPr>
      <w:rFonts w:ascii="Cambria" w:eastAsia="Times New Roman" w:hAnsi="Cambria"/>
      <w:b/>
      <w:bCs/>
      <w:color w:val="E3120B"/>
      <w:sz w:val="24"/>
      <w:szCs w:val="36"/>
      <w14:numForm w14:val="oldStyle"/>
      <w14:numSpacing w14:val="proportional"/>
    </w:rPr>
  </w:style>
  <w:style w:type="paragraph" w:styleId="Caption">
    <w:name w:val="caption"/>
    <w:basedOn w:val="Normal"/>
    <w:next w:val="Normal"/>
    <w:unhideWhenUsed/>
    <w:qFormat/>
    <w:rsid w:val="00197879"/>
    <w:pPr>
      <w:widowControl w:val="0"/>
      <w:kinsoku w:val="0"/>
      <w:overflowPunct w:val="0"/>
      <w:spacing w:before="120"/>
      <w:jc w:val="center"/>
      <w:textAlignment w:val="baseline"/>
    </w:pPr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semiHidden/>
    <w:rsid w:val="00FF6CAB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semiHidden/>
    <w:rsid w:val="00FF6CAB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6CAB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customStyle="1" w:styleId="Bullet2">
    <w:name w:val="Bullet2"/>
    <w:basedOn w:val="BulletText"/>
    <w:link w:val="Bullet2Char"/>
    <w:qFormat/>
    <w:rsid w:val="00F936A9"/>
    <w:pPr>
      <w:ind w:left="568"/>
    </w:pPr>
  </w:style>
  <w:style w:type="character" w:customStyle="1" w:styleId="Bullet2Char">
    <w:name w:val="Bullet2 Char"/>
    <w:basedOn w:val="DefaultParagraphFont"/>
    <w:link w:val="Bullet2"/>
    <w:rsid w:val="00F936A9"/>
    <w:rPr>
      <w:rFonts w:ascii="Cambria" w:hAnsi="Cambria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F936A9"/>
    <w:pPr>
      <w:spacing w:before="0"/>
      <w:ind w:left="568"/>
    </w:pPr>
  </w:style>
  <w:style w:type="character" w:customStyle="1" w:styleId="Bullet2ctChar">
    <w:name w:val="Bullet2 ct Char"/>
    <w:basedOn w:val="DefaultParagraphFont"/>
    <w:link w:val="Bullet2ct"/>
    <w:rsid w:val="00F936A9"/>
    <w:rPr>
      <w:rFonts w:ascii="Cambria" w:hAnsi="Cambria"/>
      <w14:numForm w14:val="oldStyle"/>
      <w14:numSpacing w14:val="proportional"/>
    </w:rPr>
  </w:style>
  <w:style w:type="paragraph" w:customStyle="1" w:styleId="Translit">
    <w:name w:val="Translit"/>
    <w:basedOn w:val="Normal"/>
    <w:link w:val="TranslitChar"/>
    <w:qFormat/>
    <w:rsid w:val="00D202CE"/>
    <w:pPr>
      <w:tabs>
        <w:tab w:val="left" w:pos="3260"/>
        <w:tab w:val="left" w:pos="6521"/>
      </w:tabs>
      <w:ind w:left="6521" w:hanging="6521"/>
    </w:pPr>
    <w:rPr>
      <w:sz w:val="18"/>
      <w:szCs w:val="18"/>
    </w:rPr>
  </w:style>
  <w:style w:type="character" w:customStyle="1" w:styleId="TranslitChar">
    <w:name w:val="Translit Char"/>
    <w:link w:val="Translit"/>
    <w:rsid w:val="00D202CE"/>
    <w:rPr>
      <w:rFonts w:ascii="Cambria" w:hAnsi="Cambria"/>
      <w:sz w:val="18"/>
      <w:szCs w:val="18"/>
      <w14:numForm w14:val="oldStyle"/>
      <w14:numSpacing w14:val="proportional"/>
    </w:rPr>
  </w:style>
  <w:style w:type="paragraph" w:customStyle="1" w:styleId="Poetry">
    <w:name w:val="Poetry"/>
    <w:basedOn w:val="Normal"/>
    <w:qFormat/>
    <w:rsid w:val="00E54C23"/>
    <w:pPr>
      <w:keepNext/>
      <w:spacing w:before="120"/>
      <w:ind w:left="1418" w:hanging="567"/>
    </w:pPr>
    <w:rPr>
      <w:i/>
    </w:rPr>
  </w:style>
  <w:style w:type="paragraph" w:customStyle="1" w:styleId="Poetrycts">
    <w:name w:val="Poetrycts"/>
    <w:basedOn w:val="Poetry"/>
    <w:qFormat/>
    <w:rsid w:val="00694937"/>
    <w:pPr>
      <w:keepNext w:val="0"/>
      <w:spacing w:before="0"/>
    </w:pPr>
  </w:style>
  <w:style w:type="paragraph" w:styleId="TOC5">
    <w:name w:val="toc 5"/>
    <w:basedOn w:val="Normal"/>
    <w:next w:val="Normal"/>
    <w:uiPriority w:val="39"/>
    <w:rsid w:val="006920C4"/>
    <w:pPr>
      <w:ind w:left="720"/>
    </w:pPr>
    <w:rPr>
      <w:rFonts w:asciiTheme="minorHAnsi" w:hAnsiTheme="minorHAnsi"/>
      <w:szCs w:val="24"/>
      <w14:numSpacing w14:val="tabular"/>
    </w:rPr>
  </w:style>
  <w:style w:type="paragraph" w:customStyle="1" w:styleId="EndnoteTextHead">
    <w:name w:val="Endnote Text Head"/>
    <w:basedOn w:val="EndnoteText"/>
    <w:link w:val="EndnoteTextHeadChar"/>
    <w:rsid w:val="0001175A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01175A"/>
    <w:rPr>
      <w:rFonts w:ascii="Cambria" w:eastAsia="PMingLiU" w:hAnsi="Cambria"/>
      <w:b/>
      <w:bCs/>
      <w:kern w:val="20"/>
      <w:sz w:val="16"/>
      <w:szCs w:val="22"/>
      <w:lang w:val="en-US" w:eastAsia="en-US"/>
      <w14:numForm w14:val="lining"/>
      <w14:numSpacing w14:val="proportional"/>
    </w:rPr>
  </w:style>
  <w:style w:type="paragraph" w:customStyle="1" w:styleId="Textleftn">
    <w:name w:val="Text_leftn"/>
    <w:basedOn w:val="Normal"/>
    <w:link w:val="TextleftnChar"/>
    <w:rsid w:val="00854D1B"/>
    <w:pPr>
      <w:tabs>
        <w:tab w:val="left" w:pos="284"/>
      </w:tabs>
      <w:kinsoku w:val="0"/>
      <w:overflowPunct w:val="0"/>
      <w:spacing w:before="120"/>
      <w:ind w:hanging="284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854D1B"/>
    <w:rPr>
      <w:rFonts w:ascii="Cambria" w:hAnsi="Cambria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D376BA"/>
    <w:pPr>
      <w:tabs>
        <w:tab w:val="right" w:pos="5812"/>
      </w:tabs>
      <w:suppressAutoHyphens/>
      <w:ind w:left="851"/>
    </w:pPr>
  </w:style>
  <w:style w:type="character" w:customStyle="1" w:styleId="TextrightnChar">
    <w:name w:val="Text_rightn Char"/>
    <w:basedOn w:val="TextleftnChar"/>
    <w:link w:val="Textrightn"/>
    <w:rsid w:val="00D376BA"/>
    <w:rPr>
      <w:rFonts w:ascii="Cambria" w:hAnsi="Cambria"/>
      <w:lang w:eastAsia="en-US"/>
      <w14:numForm w14:val="oldStyle"/>
      <w14:numSpacing w14:val="proportional"/>
    </w:rPr>
  </w:style>
  <w:style w:type="character" w:customStyle="1" w:styleId="TextChar">
    <w:name w:val="Text Char"/>
    <w:basedOn w:val="DefaultParagraphFont"/>
    <w:link w:val="Text"/>
    <w:rsid w:val="00401943"/>
    <w:rPr>
      <w14:numForm w14:val="oldStyle"/>
      <w14:numSpacing w14:val="proportional"/>
    </w:rPr>
  </w:style>
  <w:style w:type="paragraph" w:customStyle="1" w:styleId="Rodwell">
    <w:name w:val="Rodwell"/>
    <w:basedOn w:val="Normal"/>
    <w:link w:val="RodwellChar"/>
    <w:qFormat/>
    <w:rsid w:val="00F4729B"/>
    <w:pPr>
      <w:tabs>
        <w:tab w:val="left" w:pos="284"/>
      </w:tabs>
      <w:kinsoku w:val="0"/>
      <w:overflowPunct w:val="0"/>
      <w:spacing w:before="120"/>
      <w:ind w:left="567" w:hanging="567"/>
      <w:jc w:val="both"/>
      <w:textAlignment w:val="baseline"/>
    </w:pPr>
    <w:rPr>
      <w:sz w:val="18"/>
    </w:rPr>
  </w:style>
  <w:style w:type="character" w:customStyle="1" w:styleId="RodwellChar">
    <w:name w:val="Rodwell Char"/>
    <w:basedOn w:val="DefaultParagraphFont"/>
    <w:link w:val="Rodwell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Rodwellcts">
    <w:name w:val="Rodwellcts"/>
    <w:basedOn w:val="Rodwell"/>
    <w:link w:val="RodwellctsChar"/>
    <w:qFormat/>
    <w:rsid w:val="00F4729B"/>
    <w:pPr>
      <w:spacing w:before="0"/>
    </w:pPr>
  </w:style>
  <w:style w:type="character" w:customStyle="1" w:styleId="RodwellctsChar">
    <w:name w:val="Rodwellcts Char"/>
    <w:basedOn w:val="RodwellChar"/>
    <w:link w:val="Rodwellcts"/>
    <w:rsid w:val="00F4729B"/>
    <w:rPr>
      <w:rFonts w:ascii="Cambria" w:hAnsi="Cambria"/>
      <w:sz w:val="18"/>
      <w14:numForm w14:val="oldStyle"/>
      <w14:numSpacing w14:val="proportional"/>
    </w:rPr>
  </w:style>
  <w:style w:type="paragraph" w:customStyle="1" w:styleId="Myhead3">
    <w:name w:val="Myhead3"/>
    <w:basedOn w:val="Normal"/>
    <w:rsid w:val="00582AA4"/>
    <w:pPr>
      <w:kinsoku w:val="0"/>
      <w:overflowPunct w:val="0"/>
      <w:spacing w:before="18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styleId="BalloonText">
    <w:name w:val="Balloon Text"/>
    <w:basedOn w:val="Normal"/>
    <w:link w:val="BalloonTextChar"/>
    <w:rsid w:val="00703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1B1"/>
    <w:rPr>
      <w:rFonts w:ascii="Tahoma" w:eastAsia="PMingLiU" w:hAnsi="Tahoma" w:cs="Tahoma"/>
      <w:sz w:val="16"/>
      <w:szCs w:val="16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1E86-FA66-4309-AAE4-FA79830E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2020-03-19T00:20:00Z</dcterms:created>
  <dcterms:modified xsi:type="dcterms:W3CDTF">2020-03-19T01:38:00Z</dcterms:modified>
</cp:coreProperties>
</file>