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8E82" w14:textId="77777777" w:rsidR="004165B2" w:rsidRPr="0043703E" w:rsidRDefault="004165B2" w:rsidP="0043703E">
      <w:pPr>
        <w:spacing w:line="264" w:lineRule="auto"/>
        <w:rPr>
          <w:sz w:val="22"/>
          <w:szCs w:val="22"/>
        </w:rPr>
      </w:pPr>
      <w:r w:rsidRPr="0043703E">
        <w:rPr>
          <w:i/>
          <w:sz w:val="22"/>
          <w:szCs w:val="22"/>
        </w:rPr>
        <w:t>Bah</w:t>
      </w:r>
      <w:r w:rsidRPr="0043703E">
        <w:rPr>
          <w:i/>
          <w:sz w:val="24"/>
          <w:szCs w:val="22"/>
        </w:rPr>
        <w:t>á</w:t>
      </w:r>
      <w:r w:rsidRPr="0043703E">
        <w:rPr>
          <w:i/>
          <w:sz w:val="22"/>
          <w:szCs w:val="22"/>
        </w:rPr>
        <w:t>’</w:t>
      </w:r>
      <w:r w:rsidRPr="0043703E">
        <w:rPr>
          <w:i/>
          <w:sz w:val="24"/>
          <w:szCs w:val="22"/>
        </w:rPr>
        <w:t>í</w:t>
      </w:r>
      <w:r w:rsidRPr="0043703E">
        <w:rPr>
          <w:i/>
          <w:sz w:val="22"/>
          <w:szCs w:val="22"/>
        </w:rPr>
        <w:t xml:space="preserve"> Studies Review</w:t>
      </w:r>
      <w:r w:rsidRPr="0043703E">
        <w:rPr>
          <w:sz w:val="22"/>
          <w:szCs w:val="22"/>
        </w:rPr>
        <w:t xml:space="preserve"> 13 (2005) 1–13</w:t>
      </w:r>
    </w:p>
    <w:p w14:paraId="22E8FF13" w14:textId="77777777" w:rsidR="004165B2" w:rsidRPr="0043703E" w:rsidRDefault="004165B2" w:rsidP="0043703E">
      <w:pPr>
        <w:spacing w:line="264" w:lineRule="auto"/>
        <w:rPr>
          <w:sz w:val="22"/>
          <w:szCs w:val="22"/>
        </w:rPr>
      </w:pPr>
    </w:p>
    <w:p w14:paraId="5F8E3A77" w14:textId="77777777" w:rsidR="004165B2" w:rsidRPr="0043703E" w:rsidRDefault="004165B2" w:rsidP="0043703E">
      <w:pPr>
        <w:spacing w:line="264" w:lineRule="auto"/>
        <w:rPr>
          <w:sz w:val="22"/>
          <w:szCs w:val="22"/>
        </w:rPr>
      </w:pPr>
    </w:p>
    <w:p w14:paraId="6E65DAC4" w14:textId="77777777" w:rsidR="004165B2" w:rsidRPr="0043703E" w:rsidRDefault="004165B2" w:rsidP="0043703E">
      <w:pPr>
        <w:pStyle w:val="Myheadc"/>
        <w:spacing w:line="264" w:lineRule="auto"/>
        <w:rPr>
          <w:sz w:val="30"/>
          <w:szCs w:val="22"/>
        </w:rPr>
      </w:pPr>
      <w:r w:rsidRPr="0043703E">
        <w:rPr>
          <w:sz w:val="30"/>
          <w:szCs w:val="30"/>
        </w:rPr>
        <w:t>Mid</w:t>
      </w:r>
      <w:r w:rsidR="00DF778A" w:rsidRPr="0043703E">
        <w:rPr>
          <w:sz w:val="30"/>
          <w:szCs w:val="30"/>
        </w:rPr>
        <w:t>h</w:t>
      </w:r>
      <w:r w:rsidRPr="0043703E">
        <w:rPr>
          <w:sz w:val="30"/>
          <w:szCs w:val="30"/>
        </w:rPr>
        <w:t>at P</w:t>
      </w:r>
      <w:r w:rsidR="00DF778A" w:rsidRPr="0043703E">
        <w:rPr>
          <w:sz w:val="30"/>
          <w:szCs w:val="30"/>
        </w:rPr>
        <w:t>a</w:t>
      </w:r>
      <w:r w:rsidRPr="0043703E">
        <w:rPr>
          <w:sz w:val="30"/>
          <w:szCs w:val="30"/>
        </w:rPr>
        <w:t>sh</w:t>
      </w:r>
      <w:r w:rsidR="00DF778A" w:rsidRPr="0043703E">
        <w:rPr>
          <w:sz w:val="30"/>
          <w:szCs w:val="30"/>
        </w:rPr>
        <w:t>a</w:t>
      </w:r>
      <w:r w:rsidRPr="0043703E">
        <w:rPr>
          <w:sz w:val="30"/>
          <w:szCs w:val="30"/>
        </w:rPr>
        <w:t xml:space="preserve"> and ‘Abdu’l-Bahá in</w:t>
      </w:r>
      <w:r w:rsidRPr="0043703E">
        <w:rPr>
          <w:sz w:val="30"/>
          <w:szCs w:val="30"/>
        </w:rPr>
        <w:br/>
        <w:t>‘Akká:  The Historical Background of</w:t>
      </w:r>
      <w:r w:rsidRPr="0043703E">
        <w:rPr>
          <w:sz w:val="30"/>
          <w:szCs w:val="30"/>
        </w:rPr>
        <w:br/>
        <w:t>the Tablet of the Land of Bá</w:t>
      </w:r>
      <w:r w:rsidR="006569E9" w:rsidRPr="0043703E">
        <w:rPr>
          <w:rStyle w:val="FootnoteReference"/>
          <w:sz w:val="30"/>
          <w:szCs w:val="22"/>
        </w:rPr>
        <w:footnoteReference w:id="1"/>
      </w:r>
    </w:p>
    <w:p w14:paraId="548694DA" w14:textId="77777777" w:rsidR="004165B2" w:rsidRPr="0043703E" w:rsidRDefault="006569E9" w:rsidP="0043703E">
      <w:pPr>
        <w:spacing w:before="120" w:line="264" w:lineRule="auto"/>
        <w:jc w:val="center"/>
        <w:rPr>
          <w:sz w:val="22"/>
          <w:szCs w:val="22"/>
        </w:rPr>
      </w:pPr>
      <w:r w:rsidRPr="0043703E">
        <w:rPr>
          <w:sz w:val="22"/>
          <w:szCs w:val="22"/>
        </w:rPr>
        <w:t>Necati Alkan</w:t>
      </w:r>
    </w:p>
    <w:p w14:paraId="4A094E94" w14:textId="77777777" w:rsidR="004165B2" w:rsidRPr="0043703E" w:rsidRDefault="004165B2" w:rsidP="0043703E">
      <w:pPr>
        <w:pStyle w:val="Myhead"/>
        <w:spacing w:line="264" w:lineRule="auto"/>
        <w:rPr>
          <w:sz w:val="22"/>
          <w:szCs w:val="22"/>
        </w:rPr>
      </w:pPr>
      <w:r w:rsidRPr="0043703E">
        <w:rPr>
          <w:sz w:val="22"/>
          <w:szCs w:val="22"/>
        </w:rPr>
        <w:t>Abstract</w:t>
      </w:r>
    </w:p>
    <w:p w14:paraId="6218665F" w14:textId="77777777" w:rsidR="004165B2" w:rsidRPr="0043703E" w:rsidRDefault="004165B2" w:rsidP="0043703E">
      <w:pPr>
        <w:pStyle w:val="Text"/>
        <w:spacing w:line="264" w:lineRule="auto"/>
        <w:rPr>
          <w:i/>
          <w:sz w:val="22"/>
          <w:szCs w:val="22"/>
        </w:rPr>
      </w:pPr>
      <w:r w:rsidRPr="0043703E">
        <w:rPr>
          <w:i/>
          <w:sz w:val="22"/>
          <w:szCs w:val="22"/>
        </w:rPr>
        <w:t xml:space="preserve">In </w:t>
      </w:r>
      <w:r w:rsidRPr="0043703E">
        <w:rPr>
          <w:sz w:val="22"/>
          <w:szCs w:val="22"/>
        </w:rPr>
        <w:t>God Passes By</w:t>
      </w:r>
      <w:r w:rsidRPr="0043703E">
        <w:rPr>
          <w:i/>
          <w:sz w:val="22"/>
          <w:szCs w:val="22"/>
        </w:rPr>
        <w:t>, Shoghi Effendi mentions various distinguished political and other figures who met ‘Abdu’l-Bahá.  Among them were several Ottoman officials who were friendly towards Bahá’u’lláh and ‘Abdu’l-Bahá.  One of them was the outstanding liberal Ottoman statesman Mid</w:t>
      </w:r>
      <w:r w:rsidR="00DF778A" w:rsidRPr="0043703E">
        <w:rPr>
          <w:i/>
          <w:sz w:val="22"/>
          <w:szCs w:val="22"/>
        </w:rPr>
        <w:t>h</w:t>
      </w:r>
      <w:r w:rsidRPr="0043703E">
        <w:rPr>
          <w:i/>
          <w:sz w:val="22"/>
          <w:szCs w:val="22"/>
        </w:rPr>
        <w:t>at P</w:t>
      </w:r>
      <w:r w:rsidR="00DF778A" w:rsidRPr="0043703E">
        <w:rPr>
          <w:i/>
          <w:sz w:val="22"/>
          <w:szCs w:val="22"/>
        </w:rPr>
        <w:t>a</w:t>
      </w:r>
      <w:r w:rsidRPr="0043703E">
        <w:rPr>
          <w:i/>
          <w:sz w:val="22"/>
          <w:szCs w:val="22"/>
        </w:rPr>
        <w:t>sh</w:t>
      </w:r>
      <w:r w:rsidR="00DF778A" w:rsidRPr="0043703E">
        <w:rPr>
          <w:i/>
          <w:sz w:val="22"/>
          <w:szCs w:val="22"/>
        </w:rPr>
        <w:t>a</w:t>
      </w:r>
      <w:r w:rsidRPr="0043703E">
        <w:rPr>
          <w:i/>
          <w:sz w:val="22"/>
          <w:szCs w:val="22"/>
        </w:rPr>
        <w:t>, who, as the governor general (</w:t>
      </w:r>
      <w:r w:rsidRPr="0043703E">
        <w:rPr>
          <w:sz w:val="22"/>
          <w:szCs w:val="22"/>
        </w:rPr>
        <w:t>v</w:t>
      </w:r>
      <w:r w:rsidR="00DF778A" w:rsidRPr="0043703E">
        <w:rPr>
          <w:sz w:val="22"/>
          <w:szCs w:val="22"/>
        </w:rPr>
        <w:t>â</w:t>
      </w:r>
      <w:r w:rsidRPr="0043703E">
        <w:rPr>
          <w:sz w:val="22"/>
          <w:szCs w:val="22"/>
        </w:rPr>
        <w:t>l</w:t>
      </w:r>
      <w:r w:rsidR="00DF778A" w:rsidRPr="0043703E">
        <w:rPr>
          <w:sz w:val="22"/>
          <w:szCs w:val="22"/>
        </w:rPr>
        <w:t>i</w:t>
      </w:r>
      <w:r w:rsidRPr="0043703E">
        <w:rPr>
          <w:i/>
          <w:sz w:val="22"/>
          <w:szCs w:val="22"/>
        </w:rPr>
        <w:t>) of Ottoman Syria, invited ‘Abdu’l-Bahá (‘Abb</w:t>
      </w:r>
      <w:r w:rsidR="00C94C70" w:rsidRPr="0043703E">
        <w:rPr>
          <w:i/>
          <w:sz w:val="22"/>
          <w:szCs w:val="22"/>
        </w:rPr>
        <w:t>á</w:t>
      </w:r>
      <w:r w:rsidRPr="0043703E">
        <w:rPr>
          <w:i/>
          <w:sz w:val="22"/>
          <w:szCs w:val="22"/>
        </w:rPr>
        <w:t xml:space="preserve">s </w:t>
      </w:r>
      <w:r w:rsidR="00C94C70" w:rsidRPr="0043703E">
        <w:rPr>
          <w:i/>
          <w:sz w:val="22"/>
          <w:szCs w:val="22"/>
        </w:rPr>
        <w:t>A</w:t>
      </w:r>
      <w:r w:rsidRPr="0043703E">
        <w:rPr>
          <w:i/>
          <w:sz w:val="22"/>
          <w:szCs w:val="22"/>
        </w:rPr>
        <w:t>f</w:t>
      </w:r>
      <w:r w:rsidR="00C94C70" w:rsidRPr="0043703E">
        <w:rPr>
          <w:i/>
          <w:sz w:val="22"/>
          <w:szCs w:val="22"/>
        </w:rPr>
        <w:t>a</w:t>
      </w:r>
      <w:r w:rsidRPr="0043703E">
        <w:rPr>
          <w:i/>
          <w:sz w:val="22"/>
          <w:szCs w:val="22"/>
        </w:rPr>
        <w:t>nd</w:t>
      </w:r>
      <w:r w:rsidR="00C94C70" w:rsidRPr="0043703E">
        <w:rPr>
          <w:i/>
          <w:sz w:val="22"/>
          <w:szCs w:val="22"/>
        </w:rPr>
        <w:t>í</w:t>
      </w:r>
      <w:r w:rsidRPr="0043703E">
        <w:rPr>
          <w:i/>
          <w:sz w:val="22"/>
          <w:szCs w:val="22"/>
        </w:rPr>
        <w:t xml:space="preserve">) to Beirut.  To date, there have been only </w:t>
      </w:r>
      <w:r w:rsidR="00C94C70" w:rsidRPr="0043703E">
        <w:rPr>
          <w:sz w:val="22"/>
          <w:szCs w:val="22"/>
        </w:rPr>
        <w:t>[</w:t>
      </w:r>
      <w:r w:rsidR="00C94C70" w:rsidRPr="0043703E">
        <w:rPr>
          <w:i/>
          <w:sz w:val="22"/>
          <w:szCs w:val="22"/>
        </w:rPr>
        <w:t>a</w:t>
      </w:r>
      <w:r w:rsidR="00C94C70" w:rsidRPr="0043703E">
        <w:rPr>
          <w:sz w:val="22"/>
          <w:szCs w:val="22"/>
        </w:rPr>
        <w:t>]</w:t>
      </w:r>
      <w:r w:rsidR="00C94C70" w:rsidRPr="0043703E">
        <w:rPr>
          <w:i/>
          <w:sz w:val="22"/>
          <w:szCs w:val="22"/>
        </w:rPr>
        <w:t xml:space="preserve"> </w:t>
      </w:r>
      <w:r w:rsidRPr="0043703E">
        <w:rPr>
          <w:i/>
          <w:sz w:val="22"/>
          <w:szCs w:val="22"/>
        </w:rPr>
        <w:t xml:space="preserve">very few references to this meeting between these two figures.  </w:t>
      </w:r>
      <w:proofErr w:type="gramStart"/>
      <w:r w:rsidRPr="0043703E">
        <w:rPr>
          <w:i/>
          <w:sz w:val="22"/>
          <w:szCs w:val="22"/>
        </w:rPr>
        <w:t>On the occasion of</w:t>
      </w:r>
      <w:proofErr w:type="gramEnd"/>
      <w:r w:rsidRPr="0043703E">
        <w:rPr>
          <w:i/>
          <w:sz w:val="22"/>
          <w:szCs w:val="22"/>
        </w:rPr>
        <w:t xml:space="preserve"> ‘Abdu’l-Bahá’s visit to Beirut, Bahá’u’lláh revealed the </w:t>
      </w:r>
      <w:r w:rsidRPr="0043703E">
        <w:rPr>
          <w:sz w:val="22"/>
          <w:szCs w:val="22"/>
        </w:rPr>
        <w:t>Law</w:t>
      </w:r>
      <w:r w:rsidR="00C94C70" w:rsidRPr="0043703E">
        <w:rPr>
          <w:sz w:val="22"/>
          <w:szCs w:val="22"/>
        </w:rPr>
        <w:t>ḥ</w:t>
      </w:r>
      <w:r w:rsidRPr="0043703E">
        <w:rPr>
          <w:sz w:val="22"/>
          <w:szCs w:val="22"/>
        </w:rPr>
        <w:t>-i</w:t>
      </w:r>
      <w:r w:rsidR="00C94C70" w:rsidRPr="0043703E">
        <w:rPr>
          <w:sz w:val="22"/>
          <w:szCs w:val="22"/>
        </w:rPr>
        <w:t>-</w:t>
      </w:r>
      <w:r w:rsidRPr="0043703E">
        <w:rPr>
          <w:sz w:val="22"/>
          <w:szCs w:val="22"/>
        </w:rPr>
        <w:t>Ar</w:t>
      </w:r>
      <w:r w:rsidR="00E33C39" w:rsidRPr="0043703E">
        <w:rPr>
          <w:sz w:val="22"/>
          <w:szCs w:val="22"/>
        </w:rPr>
        <w:t>ḍ</w:t>
      </w:r>
      <w:r w:rsidRPr="0043703E">
        <w:rPr>
          <w:sz w:val="22"/>
          <w:szCs w:val="22"/>
        </w:rPr>
        <w:t>-i</w:t>
      </w:r>
      <w:r w:rsidR="00C94C70" w:rsidRPr="0043703E">
        <w:rPr>
          <w:sz w:val="22"/>
          <w:szCs w:val="22"/>
        </w:rPr>
        <w:t>-</w:t>
      </w:r>
      <w:r w:rsidRPr="0043703E">
        <w:rPr>
          <w:sz w:val="22"/>
          <w:szCs w:val="22"/>
        </w:rPr>
        <w:t>Bá</w:t>
      </w:r>
      <w:r w:rsidRPr="0043703E">
        <w:rPr>
          <w:i/>
          <w:sz w:val="22"/>
          <w:szCs w:val="22"/>
        </w:rPr>
        <w:t>, the Tablet of the Land of Bá (Beirut), in honour of his son.  Hitherto, the circumstances and exact date of this remained unclear.</w:t>
      </w:r>
    </w:p>
    <w:p w14:paraId="5D1C25D9" w14:textId="4BA4C7FE" w:rsidR="004165B2" w:rsidRDefault="004165B2" w:rsidP="0043703E">
      <w:pPr>
        <w:pStyle w:val="Text"/>
        <w:spacing w:line="264" w:lineRule="auto"/>
        <w:rPr>
          <w:i/>
          <w:sz w:val="22"/>
          <w:szCs w:val="22"/>
        </w:rPr>
      </w:pPr>
      <w:r w:rsidRPr="0043703E">
        <w:rPr>
          <w:i/>
          <w:sz w:val="22"/>
          <w:szCs w:val="22"/>
        </w:rPr>
        <w:t xml:space="preserve">The object of this paper is to present the background of this episode in Bahá’í history in the light of a manuscript by the eminent Bahá’í </w:t>
      </w:r>
      <w:r w:rsidR="00C94C70" w:rsidRPr="0043703E">
        <w:rPr>
          <w:i/>
          <w:sz w:val="22"/>
          <w:szCs w:val="22"/>
        </w:rPr>
        <w:t>Ḥá</w:t>
      </w:r>
      <w:r w:rsidRPr="0043703E">
        <w:rPr>
          <w:i/>
          <w:sz w:val="22"/>
          <w:szCs w:val="22"/>
        </w:rPr>
        <w:t>j</w:t>
      </w:r>
      <w:r w:rsidR="00C94C70" w:rsidRPr="0043703E">
        <w:rPr>
          <w:i/>
          <w:sz w:val="22"/>
          <w:szCs w:val="22"/>
        </w:rPr>
        <w:t>í</w:t>
      </w:r>
      <w:r w:rsidRPr="0043703E">
        <w:rPr>
          <w:i/>
          <w:sz w:val="22"/>
          <w:szCs w:val="22"/>
        </w:rPr>
        <w:t xml:space="preserve"> M</w:t>
      </w:r>
      <w:r w:rsidR="00C94C70" w:rsidRPr="0043703E">
        <w:rPr>
          <w:i/>
          <w:sz w:val="22"/>
          <w:szCs w:val="22"/>
        </w:rPr>
        <w:t>í</w:t>
      </w:r>
      <w:r w:rsidRPr="0043703E">
        <w:rPr>
          <w:i/>
          <w:sz w:val="22"/>
          <w:szCs w:val="22"/>
        </w:rPr>
        <w:t>rz</w:t>
      </w:r>
      <w:r w:rsidR="00C94C70" w:rsidRPr="0043703E">
        <w:rPr>
          <w:i/>
          <w:sz w:val="22"/>
          <w:szCs w:val="22"/>
        </w:rPr>
        <w:t>á</w:t>
      </w:r>
      <w:r w:rsidRPr="0043703E">
        <w:rPr>
          <w:i/>
          <w:sz w:val="22"/>
          <w:szCs w:val="22"/>
        </w:rPr>
        <w:t xml:space="preserve"> </w:t>
      </w:r>
      <w:r w:rsidR="00C94C70" w:rsidRPr="0043703E">
        <w:rPr>
          <w:i/>
          <w:sz w:val="22"/>
          <w:szCs w:val="22"/>
        </w:rPr>
        <w:t>Ḥaydar</w:t>
      </w:r>
      <w:r w:rsidRPr="0043703E">
        <w:rPr>
          <w:i/>
          <w:sz w:val="22"/>
          <w:szCs w:val="22"/>
        </w:rPr>
        <w:t xml:space="preserve"> ‘Al</w:t>
      </w:r>
      <w:r w:rsidR="00C94C70" w:rsidRPr="0043703E">
        <w:rPr>
          <w:i/>
          <w:sz w:val="22"/>
          <w:szCs w:val="22"/>
        </w:rPr>
        <w:t>í</w:t>
      </w:r>
      <w:r w:rsidRPr="0043703E">
        <w:rPr>
          <w:i/>
          <w:sz w:val="22"/>
          <w:szCs w:val="22"/>
        </w:rPr>
        <w:t xml:space="preserve"> I</w:t>
      </w:r>
      <w:r w:rsidR="00C94C70" w:rsidRPr="0043703E">
        <w:rPr>
          <w:i/>
          <w:sz w:val="22"/>
          <w:szCs w:val="22"/>
        </w:rPr>
        <w:t>ṣ</w:t>
      </w:r>
      <w:r w:rsidRPr="0043703E">
        <w:rPr>
          <w:i/>
          <w:sz w:val="22"/>
          <w:szCs w:val="22"/>
        </w:rPr>
        <w:t>fah</w:t>
      </w:r>
      <w:r w:rsidR="00C94C70" w:rsidRPr="0043703E">
        <w:rPr>
          <w:i/>
          <w:sz w:val="22"/>
          <w:szCs w:val="22"/>
        </w:rPr>
        <w:t>á</w:t>
      </w:r>
      <w:r w:rsidRPr="0043703E">
        <w:rPr>
          <w:i/>
          <w:sz w:val="22"/>
          <w:szCs w:val="22"/>
        </w:rPr>
        <w:t>n</w:t>
      </w:r>
      <w:r w:rsidR="00C94C70" w:rsidRPr="0043703E">
        <w:rPr>
          <w:i/>
          <w:sz w:val="22"/>
          <w:szCs w:val="22"/>
        </w:rPr>
        <w:t>í</w:t>
      </w:r>
      <w:r w:rsidRPr="0043703E">
        <w:rPr>
          <w:i/>
          <w:sz w:val="22"/>
          <w:szCs w:val="22"/>
        </w:rPr>
        <w:t xml:space="preserve"> that has surfaced recently.  His previously unknown account of the visit of Mid</w:t>
      </w:r>
      <w:r w:rsidR="00DF778A" w:rsidRPr="0043703E">
        <w:rPr>
          <w:i/>
          <w:sz w:val="22"/>
          <w:szCs w:val="22"/>
        </w:rPr>
        <w:t>h</w:t>
      </w:r>
      <w:r w:rsidRPr="0043703E">
        <w:rPr>
          <w:i/>
          <w:sz w:val="22"/>
          <w:szCs w:val="22"/>
        </w:rPr>
        <w:t>at P</w:t>
      </w:r>
      <w:r w:rsidR="00DF778A" w:rsidRPr="0043703E">
        <w:rPr>
          <w:i/>
          <w:sz w:val="22"/>
          <w:szCs w:val="22"/>
        </w:rPr>
        <w:t>a</w:t>
      </w:r>
      <w:r w:rsidRPr="0043703E">
        <w:rPr>
          <w:i/>
          <w:sz w:val="22"/>
          <w:szCs w:val="22"/>
        </w:rPr>
        <w:t>sh</w:t>
      </w:r>
      <w:r w:rsidR="00DF778A" w:rsidRPr="0043703E">
        <w:rPr>
          <w:i/>
          <w:sz w:val="22"/>
          <w:szCs w:val="22"/>
        </w:rPr>
        <w:t>a</w:t>
      </w:r>
      <w:r w:rsidRPr="0043703E">
        <w:rPr>
          <w:i/>
          <w:sz w:val="22"/>
          <w:szCs w:val="22"/>
        </w:rPr>
        <w:t xml:space="preserve"> to ‘Akká, during which Mid</w:t>
      </w:r>
      <w:r w:rsidR="00DF778A" w:rsidRPr="0043703E">
        <w:rPr>
          <w:i/>
          <w:sz w:val="22"/>
          <w:szCs w:val="22"/>
        </w:rPr>
        <w:t>h</w:t>
      </w:r>
      <w:r w:rsidRPr="0043703E">
        <w:rPr>
          <w:i/>
          <w:sz w:val="22"/>
          <w:szCs w:val="22"/>
        </w:rPr>
        <w:t>at P</w:t>
      </w:r>
      <w:r w:rsidR="00DF778A" w:rsidRPr="0043703E">
        <w:rPr>
          <w:i/>
          <w:sz w:val="22"/>
          <w:szCs w:val="22"/>
        </w:rPr>
        <w:t>a</w:t>
      </w:r>
      <w:r w:rsidRPr="0043703E">
        <w:rPr>
          <w:i/>
          <w:sz w:val="22"/>
          <w:szCs w:val="22"/>
        </w:rPr>
        <w:t>sh</w:t>
      </w:r>
      <w:r w:rsidR="00DF778A" w:rsidRPr="0043703E">
        <w:rPr>
          <w:i/>
          <w:sz w:val="22"/>
          <w:szCs w:val="22"/>
        </w:rPr>
        <w:t>a</w:t>
      </w:r>
      <w:r w:rsidRPr="0043703E">
        <w:rPr>
          <w:i/>
          <w:sz w:val="22"/>
          <w:szCs w:val="22"/>
        </w:rPr>
        <w:t xml:space="preserve"> met ‘Abdu’l-Bahá prior to the latter’s visit to Beirut, provides new information on the circumstances surrounding the revelation of the Tablet of the Land of Bá.  With the help of other </w:t>
      </w:r>
      <w:proofErr w:type="gramStart"/>
      <w:r w:rsidRPr="0043703E">
        <w:rPr>
          <w:i/>
          <w:sz w:val="22"/>
          <w:szCs w:val="22"/>
        </w:rPr>
        <w:t>sources</w:t>
      </w:r>
      <w:proofErr w:type="gramEnd"/>
      <w:r w:rsidRPr="0043703E">
        <w:rPr>
          <w:i/>
          <w:sz w:val="22"/>
          <w:szCs w:val="22"/>
        </w:rPr>
        <w:t xml:space="preserve"> we are also able to determine when this episode took place.  Before this discussion, the life and activities of Mid</w:t>
      </w:r>
      <w:r w:rsidR="00DF778A" w:rsidRPr="0043703E">
        <w:rPr>
          <w:i/>
          <w:sz w:val="22"/>
          <w:szCs w:val="22"/>
        </w:rPr>
        <w:t>h</w:t>
      </w:r>
      <w:r w:rsidRPr="0043703E">
        <w:rPr>
          <w:i/>
          <w:sz w:val="22"/>
          <w:szCs w:val="22"/>
        </w:rPr>
        <w:t>at P</w:t>
      </w:r>
      <w:r w:rsidR="00DF778A" w:rsidRPr="0043703E">
        <w:rPr>
          <w:i/>
          <w:sz w:val="22"/>
          <w:szCs w:val="22"/>
        </w:rPr>
        <w:t>a</w:t>
      </w:r>
      <w:r w:rsidRPr="0043703E">
        <w:rPr>
          <w:i/>
          <w:sz w:val="22"/>
          <w:szCs w:val="22"/>
        </w:rPr>
        <w:t>sh</w:t>
      </w:r>
      <w:r w:rsidR="00DF778A" w:rsidRPr="0043703E">
        <w:rPr>
          <w:i/>
          <w:sz w:val="22"/>
          <w:szCs w:val="22"/>
        </w:rPr>
        <w:t>a</w:t>
      </w:r>
      <w:r w:rsidRPr="0043703E">
        <w:rPr>
          <w:i/>
          <w:sz w:val="22"/>
          <w:szCs w:val="22"/>
        </w:rPr>
        <w:t xml:space="preserve"> are briefly outlined.  An annotated translation of M</w:t>
      </w:r>
      <w:r w:rsidR="00C94C70" w:rsidRPr="0043703E">
        <w:rPr>
          <w:i/>
          <w:sz w:val="22"/>
          <w:szCs w:val="22"/>
        </w:rPr>
        <w:t>í</w:t>
      </w:r>
      <w:r w:rsidRPr="0043703E">
        <w:rPr>
          <w:i/>
          <w:sz w:val="22"/>
          <w:szCs w:val="22"/>
        </w:rPr>
        <w:t>rz</w:t>
      </w:r>
      <w:r w:rsidR="00C94C70" w:rsidRPr="0043703E">
        <w:rPr>
          <w:i/>
          <w:sz w:val="22"/>
          <w:szCs w:val="22"/>
        </w:rPr>
        <w:t>á</w:t>
      </w:r>
      <w:r w:rsidRPr="0043703E">
        <w:rPr>
          <w:i/>
          <w:sz w:val="22"/>
          <w:szCs w:val="22"/>
        </w:rPr>
        <w:t xml:space="preserve"> </w:t>
      </w:r>
      <w:r w:rsidR="00C94C70" w:rsidRPr="0043703E">
        <w:rPr>
          <w:i/>
          <w:sz w:val="22"/>
          <w:szCs w:val="22"/>
        </w:rPr>
        <w:t>Ḥ</w:t>
      </w:r>
      <w:r w:rsidRPr="0043703E">
        <w:rPr>
          <w:i/>
          <w:sz w:val="22"/>
          <w:szCs w:val="22"/>
        </w:rPr>
        <w:t>aydar ‘Al</w:t>
      </w:r>
      <w:r w:rsidR="00C94C70" w:rsidRPr="0043703E">
        <w:rPr>
          <w:i/>
          <w:sz w:val="22"/>
          <w:szCs w:val="22"/>
        </w:rPr>
        <w:t>í</w:t>
      </w:r>
      <w:r w:rsidRPr="0043703E">
        <w:rPr>
          <w:i/>
          <w:sz w:val="22"/>
          <w:szCs w:val="22"/>
        </w:rPr>
        <w:t>’s account is appended to this article.</w:t>
      </w:r>
    </w:p>
    <w:p w14:paraId="0B9946F3" w14:textId="77777777" w:rsidR="009F696C" w:rsidRPr="0043703E" w:rsidRDefault="009F696C" w:rsidP="0043703E">
      <w:pPr>
        <w:pStyle w:val="Text"/>
        <w:spacing w:line="264" w:lineRule="auto"/>
        <w:rPr>
          <w:i/>
          <w:sz w:val="22"/>
          <w:szCs w:val="22"/>
        </w:rPr>
      </w:pPr>
    </w:p>
    <w:p w14:paraId="1BE4DFC8" w14:textId="77777777" w:rsidR="004165B2" w:rsidRPr="0043703E" w:rsidRDefault="004165B2" w:rsidP="0043703E">
      <w:pPr>
        <w:pStyle w:val="Myhead"/>
        <w:spacing w:line="264" w:lineRule="auto"/>
        <w:rPr>
          <w:sz w:val="22"/>
          <w:szCs w:val="22"/>
        </w:rPr>
      </w:pPr>
      <w:r w:rsidRPr="0043703E">
        <w:rPr>
          <w:sz w:val="22"/>
          <w:szCs w:val="22"/>
        </w:rPr>
        <w:t>Midḥat Pá</w:t>
      </w:r>
      <w:r w:rsidRPr="0043703E">
        <w:rPr>
          <w:sz w:val="22"/>
          <w:szCs w:val="22"/>
          <w:u w:val="single"/>
        </w:rPr>
        <w:t>sh</w:t>
      </w:r>
      <w:r w:rsidRPr="0043703E">
        <w:rPr>
          <w:sz w:val="22"/>
          <w:szCs w:val="22"/>
        </w:rPr>
        <w:t>á and his governorship in Syria</w:t>
      </w:r>
    </w:p>
    <w:p w14:paraId="3669CF5A" w14:textId="77777777" w:rsidR="004165B2" w:rsidRPr="0043703E" w:rsidRDefault="004165B2" w:rsidP="0043703E">
      <w:pPr>
        <w:pStyle w:val="Text"/>
        <w:spacing w:line="264" w:lineRule="auto"/>
        <w:rPr>
          <w:sz w:val="22"/>
          <w:szCs w:val="22"/>
        </w:rPr>
      </w:pPr>
      <w:r w:rsidRPr="0043703E">
        <w:rPr>
          <w:sz w:val="22"/>
          <w:szCs w:val="22"/>
        </w:rPr>
        <w:t>Mid</w:t>
      </w:r>
      <w:r w:rsidR="00DF778A" w:rsidRPr="0043703E">
        <w:rPr>
          <w:sz w:val="22"/>
          <w:szCs w:val="22"/>
        </w:rPr>
        <w:t>h</w:t>
      </w:r>
      <w:r w:rsidRPr="0043703E">
        <w:rPr>
          <w:sz w:val="22"/>
          <w:szCs w:val="22"/>
        </w:rPr>
        <w:t>at P</w:t>
      </w:r>
      <w:r w:rsidR="00DF778A" w:rsidRPr="0043703E">
        <w:rPr>
          <w:sz w:val="22"/>
          <w:szCs w:val="22"/>
        </w:rPr>
        <w:t>a</w:t>
      </w:r>
      <w:r w:rsidRPr="0043703E">
        <w:rPr>
          <w:sz w:val="22"/>
          <w:szCs w:val="22"/>
        </w:rPr>
        <w:t>sh</w:t>
      </w:r>
      <w:r w:rsidR="00DF778A" w:rsidRPr="0043703E">
        <w:rPr>
          <w:sz w:val="22"/>
          <w:szCs w:val="22"/>
        </w:rPr>
        <w:t>a</w:t>
      </w:r>
      <w:r w:rsidRPr="0043703E">
        <w:rPr>
          <w:sz w:val="22"/>
          <w:szCs w:val="22"/>
        </w:rPr>
        <w:t xml:space="preserve"> (1822–1884),</w:t>
      </w:r>
      <w:r w:rsidR="00C94C70" w:rsidRPr="0043703E">
        <w:rPr>
          <w:rStyle w:val="FootnoteReference"/>
          <w:sz w:val="22"/>
          <w:szCs w:val="22"/>
        </w:rPr>
        <w:footnoteReference w:id="2"/>
      </w:r>
      <w:r w:rsidRPr="0043703E">
        <w:rPr>
          <w:sz w:val="22"/>
          <w:szCs w:val="22"/>
        </w:rPr>
        <w:t xml:space="preserve"> whose real name was Ahmed </w:t>
      </w:r>
      <w:r w:rsidR="00C94C70" w:rsidRPr="0043703E">
        <w:rPr>
          <w:sz w:val="22"/>
          <w:szCs w:val="22"/>
        </w:rPr>
        <w:t>Ş</w:t>
      </w:r>
      <w:r w:rsidRPr="0043703E">
        <w:rPr>
          <w:sz w:val="22"/>
          <w:szCs w:val="22"/>
        </w:rPr>
        <w:t>efik, was a highly capable and outstanding official of the 19th century Ottoman Empire.  During his childhood he studied and memorized the Qur’</w:t>
      </w:r>
      <w:r w:rsidR="00C94C70" w:rsidRPr="0043703E">
        <w:rPr>
          <w:sz w:val="22"/>
          <w:szCs w:val="22"/>
        </w:rPr>
        <w:t>á</w:t>
      </w:r>
      <w:r w:rsidRPr="0043703E">
        <w:rPr>
          <w:sz w:val="22"/>
          <w:szCs w:val="22"/>
        </w:rPr>
        <w:t xml:space="preserve">n and therefore earned the title </w:t>
      </w:r>
      <w:r w:rsidRPr="0043703E">
        <w:rPr>
          <w:i/>
          <w:sz w:val="22"/>
          <w:szCs w:val="22"/>
        </w:rPr>
        <w:t>hâfız</w:t>
      </w:r>
      <w:r w:rsidRPr="0043703E">
        <w:rPr>
          <w:sz w:val="22"/>
          <w:szCs w:val="22"/>
        </w:rPr>
        <w:t>; later he learned Arabic, Persian and French.</w:t>
      </w:r>
      <w:r w:rsidR="00C94C70" w:rsidRPr="0043703E">
        <w:rPr>
          <w:rStyle w:val="FootnoteReference"/>
          <w:sz w:val="22"/>
          <w:szCs w:val="22"/>
        </w:rPr>
        <w:footnoteReference w:id="3"/>
      </w:r>
      <w:r w:rsidRPr="0043703E">
        <w:rPr>
          <w:sz w:val="22"/>
          <w:szCs w:val="22"/>
        </w:rPr>
        <w:t xml:space="preserve"> </w:t>
      </w:r>
      <w:r w:rsidR="00C94C70" w:rsidRPr="0043703E">
        <w:rPr>
          <w:sz w:val="22"/>
          <w:szCs w:val="22"/>
        </w:rPr>
        <w:t xml:space="preserve"> </w:t>
      </w:r>
      <w:r w:rsidRPr="0043703E">
        <w:rPr>
          <w:sz w:val="22"/>
          <w:szCs w:val="22"/>
        </w:rPr>
        <w:t xml:space="preserve">From his adolescence on, Ahmed </w:t>
      </w:r>
      <w:r w:rsidR="00C94C70" w:rsidRPr="0043703E">
        <w:rPr>
          <w:sz w:val="22"/>
          <w:szCs w:val="22"/>
        </w:rPr>
        <w:t>Ş</w:t>
      </w:r>
      <w:r w:rsidRPr="0043703E">
        <w:rPr>
          <w:sz w:val="22"/>
          <w:szCs w:val="22"/>
        </w:rPr>
        <w:t>efik was engaged in official work in Istanbul,</w:t>
      </w:r>
    </w:p>
    <w:p w14:paraId="1444856B" w14:textId="77777777" w:rsidR="00C94C70" w:rsidRPr="0043703E" w:rsidRDefault="00C94C70" w:rsidP="0043703E">
      <w:pPr>
        <w:widowControl/>
        <w:spacing w:line="264" w:lineRule="auto"/>
        <w:rPr>
          <w:sz w:val="22"/>
          <w:szCs w:val="22"/>
        </w:rPr>
      </w:pPr>
      <w:r w:rsidRPr="0043703E">
        <w:rPr>
          <w:sz w:val="22"/>
          <w:szCs w:val="22"/>
        </w:rPr>
        <w:br w:type="page"/>
      </w:r>
    </w:p>
    <w:p w14:paraId="23BF058E" w14:textId="77777777" w:rsidR="004165B2" w:rsidRPr="0043703E" w:rsidRDefault="004165B2" w:rsidP="0043703E">
      <w:pPr>
        <w:pStyle w:val="Textcts"/>
        <w:spacing w:line="264" w:lineRule="auto"/>
        <w:rPr>
          <w:sz w:val="22"/>
          <w:szCs w:val="22"/>
        </w:rPr>
      </w:pPr>
      <w:r w:rsidRPr="0043703E">
        <w:rPr>
          <w:sz w:val="22"/>
          <w:szCs w:val="22"/>
        </w:rPr>
        <w:lastRenderedPageBreak/>
        <w:t xml:space="preserve">Bulgaria and other places.  He served as secretary in the </w:t>
      </w:r>
      <w:r w:rsidRPr="0043703E">
        <w:rPr>
          <w:i/>
          <w:sz w:val="22"/>
          <w:szCs w:val="22"/>
        </w:rPr>
        <w:t>Divân-ı Hümâyun</w:t>
      </w:r>
      <w:r w:rsidRPr="0043703E">
        <w:rPr>
          <w:sz w:val="22"/>
          <w:szCs w:val="22"/>
        </w:rPr>
        <w:t xml:space="preserve"> (Imperial Chancery of State), where he received the nom de plume ‘Mid</w:t>
      </w:r>
      <w:r w:rsidR="00DF778A" w:rsidRPr="0043703E">
        <w:rPr>
          <w:sz w:val="22"/>
          <w:szCs w:val="22"/>
        </w:rPr>
        <w:t>h</w:t>
      </w:r>
      <w:r w:rsidRPr="0043703E">
        <w:rPr>
          <w:sz w:val="22"/>
          <w:szCs w:val="22"/>
        </w:rPr>
        <w:t xml:space="preserve">at’ (laudable action, encomium); he was employed in the </w:t>
      </w:r>
      <w:r w:rsidRPr="0043703E">
        <w:rPr>
          <w:i/>
          <w:sz w:val="22"/>
          <w:szCs w:val="22"/>
        </w:rPr>
        <w:t>Sadâret Mektubî Kalemi</w:t>
      </w:r>
      <w:r w:rsidRPr="0043703E">
        <w:rPr>
          <w:sz w:val="22"/>
          <w:szCs w:val="22"/>
        </w:rPr>
        <w:t xml:space="preserve"> (Office of Letters of the Grand Vizier), and at the governorate in Damascus and Sayda, to mention only a few of his posts.  From 1854 to 1857 Mid</w:t>
      </w:r>
      <w:r w:rsidR="00DF778A" w:rsidRPr="0043703E">
        <w:rPr>
          <w:sz w:val="22"/>
          <w:szCs w:val="22"/>
        </w:rPr>
        <w:t>h</w:t>
      </w:r>
      <w:r w:rsidRPr="0043703E">
        <w:rPr>
          <w:sz w:val="22"/>
          <w:szCs w:val="22"/>
        </w:rPr>
        <w:t>at had the difficult task of maintaining order in Rumelia (European Turkey), where Bulgarian rebels and brigands were opposing the authorities.  After the successful completion of this duty, Mid</w:t>
      </w:r>
      <w:r w:rsidR="00DF778A" w:rsidRPr="0043703E">
        <w:rPr>
          <w:sz w:val="22"/>
          <w:szCs w:val="22"/>
        </w:rPr>
        <w:t>h</w:t>
      </w:r>
      <w:r w:rsidRPr="0043703E">
        <w:rPr>
          <w:sz w:val="22"/>
          <w:szCs w:val="22"/>
        </w:rPr>
        <w:t>at toured Europe for six months.  In 1859 he headed the inquiry regarding the Kuleli uprising in Istanbul, which was organized by reactionary forces aimed at deposing the reform-minded Sultan Abdülmecid (r. 1839–1861).  Mid</w:t>
      </w:r>
      <w:r w:rsidR="00DF778A" w:rsidRPr="0043703E">
        <w:rPr>
          <w:sz w:val="22"/>
          <w:szCs w:val="22"/>
        </w:rPr>
        <w:t>h</w:t>
      </w:r>
      <w:r w:rsidRPr="0043703E">
        <w:rPr>
          <w:sz w:val="22"/>
          <w:szCs w:val="22"/>
        </w:rPr>
        <w:t xml:space="preserve">at was appointed </w:t>
      </w:r>
      <w:r w:rsidRPr="0043703E">
        <w:rPr>
          <w:i/>
          <w:sz w:val="22"/>
          <w:szCs w:val="22"/>
        </w:rPr>
        <w:t>vâli</w:t>
      </w:r>
      <w:r w:rsidRPr="0043703E">
        <w:rPr>
          <w:sz w:val="22"/>
          <w:szCs w:val="22"/>
        </w:rPr>
        <w:t xml:space="preserve"> (governor general) of Ni</w:t>
      </w:r>
      <w:r w:rsidR="00DF778A" w:rsidRPr="0043703E">
        <w:rPr>
          <w:sz w:val="22"/>
          <w:szCs w:val="22"/>
        </w:rPr>
        <w:t>ş</w:t>
      </w:r>
      <w:r w:rsidRPr="0043703E">
        <w:rPr>
          <w:sz w:val="22"/>
          <w:szCs w:val="22"/>
        </w:rPr>
        <w:t xml:space="preserve"> (in present-day Serbia) in the year 1861, and, owing to his successful reforms, Sultan Abdülaziz (r. 1861–1876) made him </w:t>
      </w:r>
      <w:r w:rsidRPr="0043703E">
        <w:rPr>
          <w:i/>
          <w:sz w:val="22"/>
          <w:szCs w:val="22"/>
        </w:rPr>
        <w:t>vâli</w:t>
      </w:r>
      <w:r w:rsidRPr="0043703E">
        <w:rPr>
          <w:sz w:val="22"/>
          <w:szCs w:val="22"/>
        </w:rPr>
        <w:t xml:space="preserve"> of the Tuna province, which comprised modern Bulgaria.  This province was created in 1864 as a ‘pilot project’, and Mid</w:t>
      </w:r>
      <w:r w:rsidR="00DF778A" w:rsidRPr="0043703E">
        <w:rPr>
          <w:sz w:val="22"/>
          <w:szCs w:val="22"/>
        </w:rPr>
        <w:t>h</w:t>
      </w:r>
      <w:r w:rsidRPr="0043703E">
        <w:rPr>
          <w:sz w:val="22"/>
          <w:szCs w:val="22"/>
        </w:rPr>
        <w:t>at had the task of inaugurating a general reform programme (</w:t>
      </w:r>
      <w:r w:rsidRPr="0043703E">
        <w:rPr>
          <w:i/>
          <w:sz w:val="22"/>
          <w:szCs w:val="22"/>
        </w:rPr>
        <w:t>nizâmnâme</w:t>
      </w:r>
      <w:r w:rsidRPr="0043703E">
        <w:rPr>
          <w:sz w:val="22"/>
          <w:szCs w:val="22"/>
        </w:rPr>
        <w:t>) for the Ottoman administration, based on experiences there.  He established local councils in towns and villages for the pursuit of public works, science and education; laid the foundation of the still extant Bank of Agriculture (</w:t>
      </w:r>
      <w:r w:rsidRPr="0043703E">
        <w:rPr>
          <w:i/>
          <w:sz w:val="22"/>
          <w:szCs w:val="22"/>
        </w:rPr>
        <w:t>Ziraat Bankası</w:t>
      </w:r>
      <w:r w:rsidRPr="0043703E">
        <w:rPr>
          <w:sz w:val="22"/>
          <w:szCs w:val="22"/>
        </w:rPr>
        <w:t xml:space="preserve">) by establishing a cash department; arranged for fiscal relaxations and opened public technical schools.  Later, in 1868, he was summoned to Istanbul and led reforms in the juridical, educational and financial sectors.  </w:t>
      </w:r>
      <w:proofErr w:type="gramStart"/>
      <w:r w:rsidRPr="0043703E">
        <w:rPr>
          <w:sz w:val="22"/>
          <w:szCs w:val="22"/>
        </w:rPr>
        <w:t>In the course of</w:t>
      </w:r>
      <w:proofErr w:type="gramEnd"/>
      <w:r w:rsidRPr="0043703E">
        <w:rPr>
          <w:sz w:val="22"/>
          <w:szCs w:val="22"/>
        </w:rPr>
        <w:t xml:space="preserve"> his governorship in Baghdad (1869–1872) Mid</w:t>
      </w:r>
      <w:r w:rsidR="00DF778A" w:rsidRPr="0043703E">
        <w:rPr>
          <w:sz w:val="22"/>
          <w:szCs w:val="22"/>
        </w:rPr>
        <w:t>h</w:t>
      </w:r>
      <w:r w:rsidRPr="0043703E">
        <w:rPr>
          <w:sz w:val="22"/>
          <w:szCs w:val="22"/>
        </w:rPr>
        <w:t>at again carried out successful reforms in various fields.  At the end of this office, Sultan Abdülaziz appointed him as grand vizier.  This, however, lasted only three months because Mid</w:t>
      </w:r>
      <w:r w:rsidR="00DF778A" w:rsidRPr="0043703E">
        <w:rPr>
          <w:sz w:val="22"/>
          <w:szCs w:val="22"/>
        </w:rPr>
        <w:t>h</w:t>
      </w:r>
      <w:r w:rsidRPr="0043703E">
        <w:rPr>
          <w:sz w:val="22"/>
          <w:szCs w:val="22"/>
        </w:rPr>
        <w:t xml:space="preserve">at was regarded as being too independent of the Sultan.  He was also removed from Istanbul in 1873 and appointed </w:t>
      </w:r>
      <w:r w:rsidRPr="0043703E">
        <w:rPr>
          <w:i/>
          <w:sz w:val="22"/>
          <w:szCs w:val="22"/>
        </w:rPr>
        <w:t>vâli</w:t>
      </w:r>
      <w:r w:rsidRPr="0043703E">
        <w:rPr>
          <w:sz w:val="22"/>
          <w:szCs w:val="22"/>
        </w:rPr>
        <w:t xml:space="preserve"> in Selanik (Thessaloniki in present Greece) as a result of his proposal for representative government.  It is apparent that Midḥat entertained difficult relations with the sultans in his drive for democratic reforms but, despite his dissidence, he was regularly reappointed to different positions because of his ability to improve the affairs of the state in the provinces.</w:t>
      </w:r>
    </w:p>
    <w:p w14:paraId="7244EE73" w14:textId="77777777" w:rsidR="004165B2" w:rsidRPr="0043703E" w:rsidRDefault="004165B2" w:rsidP="0043703E">
      <w:pPr>
        <w:pStyle w:val="Text"/>
        <w:spacing w:line="264" w:lineRule="auto"/>
        <w:rPr>
          <w:sz w:val="22"/>
          <w:szCs w:val="22"/>
        </w:rPr>
      </w:pPr>
      <w:proofErr w:type="gramStart"/>
      <w:r w:rsidRPr="0043703E">
        <w:rPr>
          <w:sz w:val="22"/>
          <w:szCs w:val="22"/>
        </w:rPr>
        <w:t>All of</w:t>
      </w:r>
      <w:proofErr w:type="gramEnd"/>
      <w:r w:rsidRPr="0043703E">
        <w:rPr>
          <w:sz w:val="22"/>
          <w:szCs w:val="22"/>
        </w:rPr>
        <w:t xml:space="preserve"> the administrative activities of Mid</w:t>
      </w:r>
      <w:r w:rsidR="00DF778A" w:rsidRPr="0043703E">
        <w:rPr>
          <w:sz w:val="22"/>
          <w:szCs w:val="22"/>
        </w:rPr>
        <w:t>h</w:t>
      </w:r>
      <w:r w:rsidRPr="0043703E">
        <w:rPr>
          <w:sz w:val="22"/>
          <w:szCs w:val="22"/>
        </w:rPr>
        <w:t>at P</w:t>
      </w:r>
      <w:r w:rsidR="00DF778A" w:rsidRPr="0043703E">
        <w:rPr>
          <w:sz w:val="22"/>
          <w:szCs w:val="22"/>
        </w:rPr>
        <w:t>a</w:t>
      </w:r>
      <w:r w:rsidRPr="0043703E">
        <w:rPr>
          <w:sz w:val="22"/>
          <w:szCs w:val="22"/>
        </w:rPr>
        <w:t>sh</w:t>
      </w:r>
      <w:r w:rsidR="00DF778A" w:rsidRPr="0043703E">
        <w:rPr>
          <w:sz w:val="22"/>
          <w:szCs w:val="22"/>
        </w:rPr>
        <w:t>a</w:t>
      </w:r>
      <w:r w:rsidRPr="0043703E">
        <w:rPr>
          <w:sz w:val="22"/>
          <w:szCs w:val="22"/>
        </w:rPr>
        <w:t xml:space="preserve"> covered the years 1839–1878, which are known as the </w:t>
      </w:r>
      <w:r w:rsidRPr="0043703E">
        <w:rPr>
          <w:i/>
          <w:sz w:val="22"/>
          <w:szCs w:val="22"/>
        </w:rPr>
        <w:t>Tanzimat-ı Hayriyye</w:t>
      </w:r>
      <w:r w:rsidRPr="0043703E">
        <w:rPr>
          <w:sz w:val="22"/>
          <w:szCs w:val="22"/>
        </w:rPr>
        <w:t xml:space="preserve"> (beneficial reordering, reform) period in the history of the late Ottoman Empire.  The reforms were proclaimed basically through three imperial edicts in 1839, 1856 and 1876.  The first and second edicts paved the way for the proclamation of the </w:t>
      </w:r>
      <w:r w:rsidRPr="0043703E">
        <w:rPr>
          <w:i/>
          <w:sz w:val="22"/>
          <w:szCs w:val="22"/>
        </w:rPr>
        <w:t>Kânûn-i</w:t>
      </w:r>
      <w:r w:rsidR="00771EE4" w:rsidRPr="0043703E">
        <w:rPr>
          <w:i/>
          <w:sz w:val="22"/>
          <w:szCs w:val="22"/>
        </w:rPr>
        <w:t>-</w:t>
      </w:r>
      <w:r w:rsidRPr="0043703E">
        <w:rPr>
          <w:i/>
          <w:sz w:val="22"/>
          <w:szCs w:val="22"/>
        </w:rPr>
        <w:t>Esâsî</w:t>
      </w:r>
      <w:r w:rsidRPr="0043703E">
        <w:rPr>
          <w:sz w:val="22"/>
          <w:szCs w:val="22"/>
        </w:rPr>
        <w:t xml:space="preserve"> (‘Constitutional Law’), the first Ottoman (Turkish) constitution, which was announced on 28 December 1876.  Mid</w:t>
      </w:r>
      <w:r w:rsidR="00DF778A" w:rsidRPr="0043703E">
        <w:rPr>
          <w:sz w:val="22"/>
          <w:szCs w:val="22"/>
        </w:rPr>
        <w:t>h</w:t>
      </w:r>
      <w:r w:rsidRPr="0043703E">
        <w:rPr>
          <w:sz w:val="22"/>
          <w:szCs w:val="22"/>
        </w:rPr>
        <w:t>at P</w:t>
      </w:r>
      <w:r w:rsidR="00DF778A" w:rsidRPr="0043703E">
        <w:rPr>
          <w:sz w:val="22"/>
          <w:szCs w:val="22"/>
        </w:rPr>
        <w:t>a</w:t>
      </w:r>
      <w:r w:rsidRPr="0043703E">
        <w:rPr>
          <w:sz w:val="22"/>
          <w:szCs w:val="22"/>
        </w:rPr>
        <w:t>sh</w:t>
      </w:r>
      <w:r w:rsidR="00DF778A" w:rsidRPr="0043703E">
        <w:rPr>
          <w:sz w:val="22"/>
          <w:szCs w:val="22"/>
        </w:rPr>
        <w:t>a</w:t>
      </w:r>
      <w:r w:rsidRPr="0043703E">
        <w:rPr>
          <w:sz w:val="22"/>
          <w:szCs w:val="22"/>
        </w:rPr>
        <w:t xml:space="preserve"> drafted a constitution called </w:t>
      </w:r>
      <w:r w:rsidRPr="0043703E">
        <w:rPr>
          <w:i/>
          <w:sz w:val="22"/>
          <w:szCs w:val="22"/>
        </w:rPr>
        <w:t>Kânûn-i</w:t>
      </w:r>
      <w:r w:rsidR="00771EE4" w:rsidRPr="0043703E">
        <w:rPr>
          <w:i/>
          <w:sz w:val="22"/>
          <w:szCs w:val="22"/>
        </w:rPr>
        <w:t>-</w:t>
      </w:r>
      <w:r w:rsidRPr="0043703E">
        <w:rPr>
          <w:i/>
          <w:sz w:val="22"/>
          <w:szCs w:val="22"/>
        </w:rPr>
        <w:t>Cedid</w:t>
      </w:r>
      <w:r w:rsidRPr="0043703E">
        <w:rPr>
          <w:sz w:val="22"/>
          <w:szCs w:val="22"/>
        </w:rPr>
        <w:t xml:space="preserve"> (‘New Law’), together with the poet-statesman Namık Kemal, but Abdülhamid refused it and instead had the constitution of France translated and announced this as the </w:t>
      </w:r>
      <w:r w:rsidRPr="0043703E">
        <w:rPr>
          <w:i/>
          <w:sz w:val="22"/>
          <w:szCs w:val="22"/>
        </w:rPr>
        <w:t>Kânûn-i</w:t>
      </w:r>
      <w:r w:rsidR="00771EE4" w:rsidRPr="0043703E">
        <w:rPr>
          <w:i/>
          <w:sz w:val="22"/>
          <w:szCs w:val="22"/>
        </w:rPr>
        <w:t>-</w:t>
      </w:r>
      <w:r w:rsidRPr="0043703E">
        <w:rPr>
          <w:i/>
          <w:sz w:val="22"/>
          <w:szCs w:val="22"/>
        </w:rPr>
        <w:t>Esâsî</w:t>
      </w:r>
      <w:r w:rsidRPr="0043703E">
        <w:rPr>
          <w:sz w:val="22"/>
          <w:szCs w:val="22"/>
        </w:rPr>
        <w:t>.  Namık Kemal and his friend Ziya P</w:t>
      </w:r>
      <w:r w:rsidR="00DF778A" w:rsidRPr="0043703E">
        <w:rPr>
          <w:sz w:val="22"/>
          <w:szCs w:val="22"/>
        </w:rPr>
        <w:t>a</w:t>
      </w:r>
      <w:r w:rsidRPr="0043703E">
        <w:rPr>
          <w:sz w:val="22"/>
          <w:szCs w:val="22"/>
        </w:rPr>
        <w:t>sh</w:t>
      </w:r>
      <w:r w:rsidR="00DF778A" w:rsidRPr="0043703E">
        <w:rPr>
          <w:sz w:val="22"/>
          <w:szCs w:val="22"/>
        </w:rPr>
        <w:t>a</w:t>
      </w:r>
      <w:r w:rsidRPr="0043703E">
        <w:rPr>
          <w:sz w:val="22"/>
          <w:szCs w:val="22"/>
        </w:rPr>
        <w:t xml:space="preserve"> were among the founders of the ‘Young Ottoman’ reform movement a decade earlier with the aim of democratizing the Ottoman Empire in a synthesis of Islamic and Western ideas.</w:t>
      </w:r>
    </w:p>
    <w:p w14:paraId="597CB81F" w14:textId="77777777" w:rsidR="004165B2" w:rsidRPr="0043703E" w:rsidRDefault="004165B2" w:rsidP="0043703E">
      <w:pPr>
        <w:pStyle w:val="Text"/>
        <w:spacing w:line="264" w:lineRule="auto"/>
        <w:rPr>
          <w:sz w:val="22"/>
          <w:szCs w:val="22"/>
        </w:rPr>
      </w:pPr>
      <w:r w:rsidRPr="0043703E">
        <w:rPr>
          <w:sz w:val="22"/>
          <w:szCs w:val="22"/>
        </w:rPr>
        <w:t xml:space="preserve">The central theme of the </w:t>
      </w:r>
      <w:r w:rsidRPr="0043703E">
        <w:rPr>
          <w:i/>
          <w:sz w:val="22"/>
          <w:szCs w:val="22"/>
        </w:rPr>
        <w:t>Kânûn-i</w:t>
      </w:r>
      <w:r w:rsidR="00771EE4" w:rsidRPr="0043703E">
        <w:rPr>
          <w:i/>
          <w:sz w:val="22"/>
          <w:szCs w:val="22"/>
        </w:rPr>
        <w:t>-</w:t>
      </w:r>
      <w:r w:rsidRPr="0043703E">
        <w:rPr>
          <w:i/>
          <w:sz w:val="22"/>
          <w:szCs w:val="22"/>
        </w:rPr>
        <w:t>Esâsî</w:t>
      </w:r>
      <w:r w:rsidRPr="0043703E">
        <w:rPr>
          <w:sz w:val="22"/>
          <w:szCs w:val="22"/>
        </w:rPr>
        <w:t xml:space="preserve"> was to restrict to some extent the exercise of the powers of the Sultan and to introduce the idea of a parliamentary system.  Among other aspects, this constitution covered basic rights and privileges, and the reform decrees were partially directed toward winning the support of European powers and re-emphasized the equality of all subjects under the law.  These decrees were formulated after European models and moved away from the Islamic shariah.  However, the main goal of the reforms was to preserve the Ottoman state.  Sultan Abdülaziz was deposed and died (in 1876) while Mid</w:t>
      </w:r>
      <w:r w:rsidR="00DF778A" w:rsidRPr="0043703E">
        <w:rPr>
          <w:sz w:val="22"/>
          <w:szCs w:val="22"/>
        </w:rPr>
        <w:t>h</w:t>
      </w:r>
      <w:r w:rsidRPr="0043703E">
        <w:rPr>
          <w:sz w:val="22"/>
          <w:szCs w:val="22"/>
        </w:rPr>
        <w:t>at</w:t>
      </w:r>
    </w:p>
    <w:p w14:paraId="20B07154" w14:textId="77777777" w:rsidR="00DF778A" w:rsidRPr="0043703E" w:rsidRDefault="00DF778A" w:rsidP="0043703E">
      <w:pPr>
        <w:widowControl/>
        <w:kinsoku/>
        <w:overflowPunct/>
        <w:spacing w:line="264" w:lineRule="auto"/>
        <w:textAlignment w:val="auto"/>
        <w:rPr>
          <w:sz w:val="22"/>
          <w:szCs w:val="22"/>
        </w:rPr>
      </w:pPr>
      <w:r w:rsidRPr="0043703E">
        <w:rPr>
          <w:sz w:val="22"/>
          <w:szCs w:val="22"/>
        </w:rPr>
        <w:br w:type="page"/>
      </w:r>
    </w:p>
    <w:p w14:paraId="2BF864DB" w14:textId="77777777" w:rsidR="004165B2" w:rsidRPr="0043703E" w:rsidRDefault="004165B2" w:rsidP="0043703E">
      <w:pPr>
        <w:pStyle w:val="Textcts"/>
        <w:spacing w:line="264" w:lineRule="auto"/>
        <w:rPr>
          <w:sz w:val="22"/>
          <w:szCs w:val="22"/>
        </w:rPr>
      </w:pPr>
      <w:r w:rsidRPr="0043703E">
        <w:rPr>
          <w:sz w:val="22"/>
          <w:szCs w:val="22"/>
        </w:rPr>
        <w:lastRenderedPageBreak/>
        <w:t>P</w:t>
      </w:r>
      <w:r w:rsidR="00DF778A" w:rsidRPr="0043703E">
        <w:rPr>
          <w:sz w:val="22"/>
          <w:szCs w:val="22"/>
        </w:rPr>
        <w:t>a</w:t>
      </w:r>
      <w:r w:rsidRPr="0043703E">
        <w:rPr>
          <w:sz w:val="22"/>
          <w:szCs w:val="22"/>
        </w:rPr>
        <w:t>sh</w:t>
      </w:r>
      <w:r w:rsidR="00DF778A" w:rsidRPr="0043703E">
        <w:rPr>
          <w:sz w:val="22"/>
          <w:szCs w:val="22"/>
        </w:rPr>
        <w:t>a</w:t>
      </w:r>
      <w:r w:rsidRPr="0043703E">
        <w:rPr>
          <w:sz w:val="22"/>
          <w:szCs w:val="22"/>
        </w:rPr>
        <w:t xml:space="preserve"> was prime minister and, following the </w:t>
      </w:r>
      <w:proofErr w:type="gramStart"/>
      <w:r w:rsidRPr="0043703E">
        <w:rPr>
          <w:sz w:val="22"/>
          <w:szCs w:val="22"/>
        </w:rPr>
        <w:t>three month</w:t>
      </w:r>
      <w:proofErr w:type="gramEnd"/>
      <w:r w:rsidRPr="0043703E">
        <w:rPr>
          <w:sz w:val="22"/>
          <w:szCs w:val="22"/>
        </w:rPr>
        <w:t xml:space="preserve"> reign of Sultan Murad </w:t>
      </w:r>
      <w:r w:rsidRPr="0043703E">
        <w:t>V</w:t>
      </w:r>
      <w:r w:rsidRPr="0043703E">
        <w:rPr>
          <w:sz w:val="22"/>
          <w:szCs w:val="22"/>
        </w:rPr>
        <w:t xml:space="preserve">, Abdülhamid </w:t>
      </w:r>
      <w:r w:rsidRPr="0043703E">
        <w:t>II</w:t>
      </w:r>
      <w:r w:rsidRPr="0043703E">
        <w:rPr>
          <w:sz w:val="22"/>
          <w:szCs w:val="22"/>
        </w:rPr>
        <w:t xml:space="preserve"> became Sultan in 1876.  Though he initially accepted the constitution (</w:t>
      </w:r>
      <w:r w:rsidRPr="0043703E">
        <w:rPr>
          <w:i/>
          <w:sz w:val="22"/>
          <w:szCs w:val="22"/>
        </w:rPr>
        <w:t>me</w:t>
      </w:r>
      <w:r w:rsidR="00DF778A" w:rsidRPr="0043703E">
        <w:rPr>
          <w:i/>
          <w:sz w:val="22"/>
          <w:szCs w:val="22"/>
        </w:rPr>
        <w:t>ş</w:t>
      </w:r>
      <w:r w:rsidRPr="0043703E">
        <w:rPr>
          <w:i/>
          <w:sz w:val="22"/>
          <w:szCs w:val="22"/>
        </w:rPr>
        <w:t>rutiyet</w:t>
      </w:r>
      <w:r w:rsidRPr="0043703E">
        <w:rPr>
          <w:sz w:val="22"/>
          <w:szCs w:val="22"/>
        </w:rPr>
        <w:t>) and parliament (</w:t>
      </w:r>
      <w:r w:rsidRPr="0043703E">
        <w:rPr>
          <w:i/>
          <w:sz w:val="22"/>
          <w:szCs w:val="22"/>
        </w:rPr>
        <w:t>Meclis-i</w:t>
      </w:r>
      <w:r w:rsidR="00771EE4" w:rsidRPr="0043703E">
        <w:rPr>
          <w:i/>
          <w:sz w:val="22"/>
          <w:szCs w:val="22"/>
        </w:rPr>
        <w:t>-</w:t>
      </w:r>
      <w:r w:rsidRPr="0043703E">
        <w:rPr>
          <w:i/>
          <w:sz w:val="22"/>
          <w:szCs w:val="22"/>
        </w:rPr>
        <w:t>Meb’usân</w:t>
      </w:r>
      <w:r w:rsidRPr="0043703E">
        <w:rPr>
          <w:sz w:val="22"/>
          <w:szCs w:val="22"/>
        </w:rPr>
        <w:t>), in 1878 he closed the parliament down and strengthened his position as absolute ruler for 33 years until he was overthrown by the Young Turk revolution (1908–1909), and the constitution and parliament were again put into effect.</w:t>
      </w:r>
    </w:p>
    <w:p w14:paraId="7341E804" w14:textId="77777777" w:rsidR="00183356" w:rsidRPr="0043703E" w:rsidRDefault="004165B2" w:rsidP="0043703E">
      <w:pPr>
        <w:pStyle w:val="Text"/>
        <w:spacing w:line="264" w:lineRule="auto"/>
        <w:rPr>
          <w:sz w:val="22"/>
          <w:szCs w:val="22"/>
        </w:rPr>
      </w:pPr>
      <w:r w:rsidRPr="0043703E">
        <w:rPr>
          <w:sz w:val="22"/>
          <w:szCs w:val="22"/>
        </w:rPr>
        <w:t>Mid</w:t>
      </w:r>
      <w:r w:rsidR="00DF778A" w:rsidRPr="0043703E">
        <w:rPr>
          <w:sz w:val="22"/>
          <w:szCs w:val="22"/>
        </w:rPr>
        <w:t>h</w:t>
      </w:r>
      <w:r w:rsidRPr="0043703E">
        <w:rPr>
          <w:sz w:val="22"/>
          <w:szCs w:val="22"/>
        </w:rPr>
        <w:t>at P</w:t>
      </w:r>
      <w:r w:rsidR="00DF778A" w:rsidRPr="0043703E">
        <w:rPr>
          <w:sz w:val="22"/>
          <w:szCs w:val="22"/>
        </w:rPr>
        <w:t>a</w:t>
      </w:r>
      <w:r w:rsidRPr="0043703E">
        <w:rPr>
          <w:sz w:val="22"/>
          <w:szCs w:val="22"/>
        </w:rPr>
        <w:t>sh</w:t>
      </w:r>
      <w:r w:rsidR="00DF778A" w:rsidRPr="0043703E">
        <w:rPr>
          <w:sz w:val="22"/>
          <w:szCs w:val="22"/>
        </w:rPr>
        <w:t>a</w:t>
      </w:r>
      <w:r w:rsidRPr="0043703E">
        <w:rPr>
          <w:sz w:val="22"/>
          <w:szCs w:val="22"/>
        </w:rPr>
        <w:t xml:space="preserve">’s fate was determined by article 113 of the constitution, which he himself had added, giving the sultan the right to remove or exile ‘dangerous </w:t>
      </w:r>
      <w:proofErr w:type="gramStart"/>
      <w:r w:rsidRPr="0043703E">
        <w:rPr>
          <w:sz w:val="22"/>
          <w:szCs w:val="22"/>
        </w:rPr>
        <w:t>persons’</w:t>
      </w:r>
      <w:proofErr w:type="gramEnd"/>
      <w:r w:rsidRPr="0043703E">
        <w:rPr>
          <w:sz w:val="22"/>
          <w:szCs w:val="22"/>
        </w:rPr>
        <w:t>.  Abdülhamid was greatly disturbed by Mid</w:t>
      </w:r>
      <w:r w:rsidR="00183356" w:rsidRPr="0043703E">
        <w:rPr>
          <w:sz w:val="22"/>
          <w:szCs w:val="22"/>
        </w:rPr>
        <w:t>h</w:t>
      </w:r>
      <w:r w:rsidRPr="0043703E">
        <w:rPr>
          <w:sz w:val="22"/>
          <w:szCs w:val="22"/>
        </w:rPr>
        <w:t>at’s liberal views that undermined his authority.  To understand his attitude toward Mid</w:t>
      </w:r>
      <w:r w:rsidR="00183356" w:rsidRPr="0043703E">
        <w:rPr>
          <w:sz w:val="22"/>
          <w:szCs w:val="22"/>
        </w:rPr>
        <w:t>h</w:t>
      </w:r>
      <w:r w:rsidRPr="0043703E">
        <w:rPr>
          <w:sz w:val="22"/>
          <w:szCs w:val="22"/>
        </w:rPr>
        <w:t xml:space="preserve">at, we </w:t>
      </w:r>
      <w:proofErr w:type="gramStart"/>
      <w:r w:rsidRPr="0043703E">
        <w:rPr>
          <w:sz w:val="22"/>
          <w:szCs w:val="22"/>
        </w:rPr>
        <w:t>have to</w:t>
      </w:r>
      <w:proofErr w:type="gramEnd"/>
      <w:r w:rsidRPr="0043703E">
        <w:rPr>
          <w:sz w:val="22"/>
          <w:szCs w:val="22"/>
        </w:rPr>
        <w:t xml:space="preserve"> keep in mind that the sultan accused him of the murder of his uncle Abdülaziz.  In his memoirs, however, Abdülhamid states that he did not have any grudges against Mid</w:t>
      </w:r>
      <w:r w:rsidR="00183356" w:rsidRPr="0043703E">
        <w:rPr>
          <w:sz w:val="22"/>
          <w:szCs w:val="22"/>
        </w:rPr>
        <w:t>h</w:t>
      </w:r>
      <w:r w:rsidRPr="0043703E">
        <w:rPr>
          <w:sz w:val="22"/>
          <w:szCs w:val="22"/>
        </w:rPr>
        <w:t>at, admired his work as governor but disapproved of his political views.</w:t>
      </w:r>
      <w:r w:rsidR="00183356" w:rsidRPr="0043703E">
        <w:rPr>
          <w:rStyle w:val="FootnoteReference"/>
          <w:sz w:val="22"/>
          <w:szCs w:val="22"/>
        </w:rPr>
        <w:footnoteReference w:id="4"/>
      </w:r>
    </w:p>
    <w:p w14:paraId="426EE614" w14:textId="77777777" w:rsidR="004165B2" w:rsidRPr="0043703E" w:rsidRDefault="004165B2" w:rsidP="0043703E">
      <w:pPr>
        <w:pStyle w:val="Text"/>
        <w:spacing w:line="264" w:lineRule="auto"/>
        <w:rPr>
          <w:sz w:val="22"/>
          <w:szCs w:val="22"/>
        </w:rPr>
      </w:pPr>
      <w:r w:rsidRPr="0043703E">
        <w:rPr>
          <w:sz w:val="22"/>
          <w:szCs w:val="22"/>
        </w:rPr>
        <w:t>Abdülhamid made use of his right to change the prime minister, dismissed Mid</w:t>
      </w:r>
      <w:r w:rsidR="0066088C" w:rsidRPr="0043703E">
        <w:rPr>
          <w:sz w:val="22"/>
          <w:szCs w:val="22"/>
        </w:rPr>
        <w:t>h</w:t>
      </w:r>
      <w:r w:rsidRPr="0043703E">
        <w:rPr>
          <w:sz w:val="22"/>
          <w:szCs w:val="22"/>
        </w:rPr>
        <w:t>at from</w:t>
      </w:r>
      <w:r w:rsidR="0066088C" w:rsidRPr="0043703E">
        <w:rPr>
          <w:sz w:val="22"/>
          <w:szCs w:val="22"/>
        </w:rPr>
        <w:t xml:space="preserve"> </w:t>
      </w:r>
      <w:r w:rsidRPr="0043703E">
        <w:rPr>
          <w:sz w:val="22"/>
          <w:szCs w:val="22"/>
        </w:rPr>
        <w:t>his second term of office as grand vizier (December 1876</w:t>
      </w:r>
      <w:r w:rsidR="0066088C" w:rsidRPr="0043703E">
        <w:rPr>
          <w:sz w:val="22"/>
          <w:szCs w:val="22"/>
        </w:rPr>
        <w:t>–</w:t>
      </w:r>
      <w:r w:rsidRPr="0043703E">
        <w:rPr>
          <w:sz w:val="22"/>
          <w:szCs w:val="22"/>
        </w:rPr>
        <w:t>February 1877) and, in accordance with article 113, ordered him to leave the Ottoman domains.  Following an extended stay in Europe</w:t>
      </w:r>
      <w:r w:rsidR="0066088C" w:rsidRPr="0043703E">
        <w:rPr>
          <w:sz w:val="22"/>
          <w:szCs w:val="22"/>
        </w:rPr>
        <w:t>—</w:t>
      </w:r>
      <w:r w:rsidRPr="0043703E">
        <w:rPr>
          <w:sz w:val="22"/>
          <w:szCs w:val="22"/>
        </w:rPr>
        <w:t>by that time Mid</w:t>
      </w:r>
      <w:r w:rsidR="0066088C" w:rsidRPr="0043703E">
        <w:rPr>
          <w:sz w:val="22"/>
          <w:szCs w:val="22"/>
        </w:rPr>
        <w:t>h</w:t>
      </w:r>
      <w:r w:rsidRPr="0043703E">
        <w:rPr>
          <w:sz w:val="22"/>
          <w:szCs w:val="22"/>
        </w:rPr>
        <w:t>at was celebrated there as ‘the father of the constitution’</w:t>
      </w:r>
      <w:r w:rsidR="0066088C" w:rsidRPr="0043703E">
        <w:rPr>
          <w:sz w:val="22"/>
          <w:szCs w:val="22"/>
        </w:rPr>
        <w:t>—</w:t>
      </w:r>
      <w:r w:rsidRPr="0043703E">
        <w:rPr>
          <w:sz w:val="22"/>
          <w:szCs w:val="22"/>
        </w:rPr>
        <w:t>he was sent as governor general to Syria in late November 1878.  Abdülhamid thus continued his scheming against the liberal p</w:t>
      </w:r>
      <w:r w:rsidR="0066088C" w:rsidRPr="0043703E">
        <w:rPr>
          <w:sz w:val="22"/>
          <w:szCs w:val="22"/>
        </w:rPr>
        <w:t>a</w:t>
      </w:r>
      <w:r w:rsidRPr="0043703E">
        <w:rPr>
          <w:sz w:val="22"/>
          <w:szCs w:val="22"/>
        </w:rPr>
        <w:t>sh</w:t>
      </w:r>
      <w:r w:rsidR="0066088C" w:rsidRPr="0043703E">
        <w:rPr>
          <w:sz w:val="22"/>
          <w:szCs w:val="22"/>
        </w:rPr>
        <w:t>a</w:t>
      </w:r>
      <w:r w:rsidRPr="0043703E">
        <w:rPr>
          <w:sz w:val="22"/>
          <w:szCs w:val="22"/>
        </w:rPr>
        <w:t xml:space="preserve"> by removing him from Istanbul and putting him under the yoke of organi</w:t>
      </w:r>
      <w:r w:rsidR="0066088C" w:rsidRPr="0043703E">
        <w:rPr>
          <w:sz w:val="22"/>
          <w:szCs w:val="22"/>
        </w:rPr>
        <w:t>z</w:t>
      </w:r>
      <w:r w:rsidRPr="0043703E">
        <w:rPr>
          <w:sz w:val="22"/>
          <w:szCs w:val="22"/>
        </w:rPr>
        <w:t>ing state affairs in the problematic province of Syria.</w:t>
      </w:r>
    </w:p>
    <w:p w14:paraId="337D5439" w14:textId="77777777" w:rsidR="004165B2" w:rsidRPr="0043703E" w:rsidRDefault="004165B2" w:rsidP="0043703E">
      <w:pPr>
        <w:pStyle w:val="Text"/>
        <w:spacing w:line="264" w:lineRule="auto"/>
        <w:rPr>
          <w:sz w:val="22"/>
          <w:szCs w:val="22"/>
        </w:rPr>
      </w:pPr>
      <w:r w:rsidRPr="0043703E">
        <w:rPr>
          <w:sz w:val="22"/>
          <w:szCs w:val="22"/>
        </w:rPr>
        <w:t>Whereas Mid</w:t>
      </w:r>
      <w:r w:rsidR="0066088C" w:rsidRPr="0043703E">
        <w:rPr>
          <w:sz w:val="22"/>
          <w:szCs w:val="22"/>
        </w:rPr>
        <w:t>h</w:t>
      </w:r>
      <w:r w:rsidRPr="0043703E">
        <w:rPr>
          <w:sz w:val="22"/>
          <w:szCs w:val="22"/>
        </w:rPr>
        <w:t>at had all kinds of power during his previous governorships, Abdülhamid denied this to him in Syria, thinking that his minister wanted decentralisation in that region to increase his own power.</w:t>
      </w:r>
      <w:r w:rsidR="00670D77" w:rsidRPr="0043703E">
        <w:rPr>
          <w:rStyle w:val="FootnoteReference"/>
          <w:sz w:val="22"/>
          <w:szCs w:val="22"/>
        </w:rPr>
        <w:footnoteReference w:id="5"/>
      </w:r>
      <w:r w:rsidRPr="0043703E">
        <w:rPr>
          <w:sz w:val="22"/>
          <w:szCs w:val="22"/>
        </w:rPr>
        <w:t xml:space="preserve"> </w:t>
      </w:r>
      <w:r w:rsidR="0066088C" w:rsidRPr="0043703E">
        <w:rPr>
          <w:sz w:val="22"/>
          <w:szCs w:val="22"/>
        </w:rPr>
        <w:t xml:space="preserve"> </w:t>
      </w:r>
      <w:r w:rsidRPr="0043703E">
        <w:rPr>
          <w:sz w:val="22"/>
          <w:szCs w:val="22"/>
        </w:rPr>
        <w:t>A German source gives some idea of the concerns and ideals of Mid</w:t>
      </w:r>
      <w:r w:rsidR="00F31454" w:rsidRPr="0043703E">
        <w:rPr>
          <w:sz w:val="22"/>
          <w:szCs w:val="22"/>
        </w:rPr>
        <w:t>h</w:t>
      </w:r>
      <w:r w:rsidRPr="0043703E">
        <w:rPr>
          <w:sz w:val="22"/>
          <w:szCs w:val="22"/>
        </w:rPr>
        <w:t>at P</w:t>
      </w:r>
      <w:r w:rsidR="00F31454" w:rsidRPr="0043703E">
        <w:rPr>
          <w:sz w:val="22"/>
          <w:szCs w:val="22"/>
        </w:rPr>
        <w:t>a</w:t>
      </w:r>
      <w:r w:rsidRPr="0043703E">
        <w:rPr>
          <w:sz w:val="22"/>
          <w:szCs w:val="22"/>
        </w:rPr>
        <w:t>sh</w:t>
      </w:r>
      <w:r w:rsidR="00F31454" w:rsidRPr="0043703E">
        <w:rPr>
          <w:sz w:val="22"/>
          <w:szCs w:val="22"/>
        </w:rPr>
        <w:t>a</w:t>
      </w:r>
      <w:r w:rsidRPr="0043703E">
        <w:rPr>
          <w:sz w:val="22"/>
          <w:szCs w:val="22"/>
        </w:rPr>
        <w:t>.  It is recorded that he visited the Templer Colony in Haifa on ‘Pentecost Monday’ (17 May) 1880.  He had come overland to Palestine on a tour of inspection via Tiberias, Nazareth and ‘Akká and left Haifa on the same day for Beirut with the Austrian Lloyd steamship that was awaiting him.  In Haifa, Mid</w:t>
      </w:r>
      <w:r w:rsidR="00FE4345" w:rsidRPr="0043703E">
        <w:rPr>
          <w:sz w:val="22"/>
          <w:szCs w:val="22"/>
        </w:rPr>
        <w:t>h</w:t>
      </w:r>
      <w:r w:rsidRPr="0043703E">
        <w:rPr>
          <w:sz w:val="22"/>
          <w:szCs w:val="22"/>
        </w:rPr>
        <w:t xml:space="preserve">at inquired in detail about the affairs and needs of the community; he thanked the Templers for their efforts and for being a good example for the local population through their </w:t>
      </w:r>
      <w:proofErr w:type="gramStart"/>
      <w:r w:rsidRPr="0043703E">
        <w:rPr>
          <w:sz w:val="22"/>
          <w:szCs w:val="22"/>
        </w:rPr>
        <w:t>institutions, and</w:t>
      </w:r>
      <w:proofErr w:type="gramEnd"/>
      <w:r w:rsidRPr="0043703E">
        <w:rPr>
          <w:sz w:val="22"/>
          <w:szCs w:val="22"/>
        </w:rPr>
        <w:t xml:space="preserve"> wished them continued existence and success.  Also, the </w:t>
      </w:r>
      <w:r w:rsidRPr="0043703E">
        <w:rPr>
          <w:i/>
          <w:sz w:val="22"/>
          <w:szCs w:val="22"/>
        </w:rPr>
        <w:t>vâli</w:t>
      </w:r>
      <w:r w:rsidRPr="0043703E">
        <w:rPr>
          <w:sz w:val="22"/>
          <w:szCs w:val="22"/>
        </w:rPr>
        <w:t xml:space="preserve"> showed utmost admiration for the diligence and endeavours of the colonists and said to the officials in his company that it was a shame that they (the Turks) could not achieve something similar.  The p</w:t>
      </w:r>
      <w:r w:rsidR="00FE4345" w:rsidRPr="0043703E">
        <w:rPr>
          <w:sz w:val="22"/>
          <w:szCs w:val="22"/>
        </w:rPr>
        <w:t>a</w:t>
      </w:r>
      <w:r w:rsidRPr="0043703E">
        <w:rPr>
          <w:sz w:val="22"/>
          <w:szCs w:val="22"/>
        </w:rPr>
        <w:t>sh</w:t>
      </w:r>
      <w:r w:rsidR="00FE4345" w:rsidRPr="0043703E">
        <w:rPr>
          <w:sz w:val="22"/>
          <w:szCs w:val="22"/>
        </w:rPr>
        <w:t>a</w:t>
      </w:r>
      <w:r w:rsidRPr="0043703E">
        <w:rPr>
          <w:sz w:val="22"/>
          <w:szCs w:val="22"/>
        </w:rPr>
        <w:t xml:space="preserve"> added that ‘Turkey’ had been stagnant in its development and thus turned to Europe for instructors in military institutions and the navy, industry and trade and would also need specialists in agriculture.  He was not only very pleased to find a colony that met this need but promised to support its endeavours with whatever was in his power.  For this he pointed out to the p</w:t>
      </w:r>
      <w:r w:rsidR="00FE4345" w:rsidRPr="0043703E">
        <w:rPr>
          <w:sz w:val="22"/>
          <w:szCs w:val="22"/>
        </w:rPr>
        <w:t>a</w:t>
      </w:r>
      <w:r w:rsidRPr="0043703E">
        <w:rPr>
          <w:sz w:val="22"/>
          <w:szCs w:val="22"/>
        </w:rPr>
        <w:t>sh</w:t>
      </w:r>
      <w:r w:rsidR="00FE4345" w:rsidRPr="0043703E">
        <w:rPr>
          <w:sz w:val="22"/>
          <w:szCs w:val="22"/>
        </w:rPr>
        <w:t>a</w:t>
      </w:r>
      <w:r w:rsidRPr="0043703E">
        <w:rPr>
          <w:sz w:val="22"/>
          <w:szCs w:val="22"/>
        </w:rPr>
        <w:t xml:space="preserve"> of ‘Akká and the </w:t>
      </w:r>
      <w:r w:rsidRPr="0043703E">
        <w:rPr>
          <w:i/>
          <w:sz w:val="22"/>
          <w:szCs w:val="22"/>
        </w:rPr>
        <w:t>kaymakam</w:t>
      </w:r>
      <w:r w:rsidRPr="0043703E">
        <w:rPr>
          <w:sz w:val="22"/>
          <w:szCs w:val="22"/>
        </w:rPr>
        <w:t xml:space="preserve"> (head of the district) of Haifa, who were with him, that it was their duty to grant all possible facilities and support to the colonists and not to complicate things, as had happened in the past.  </w:t>
      </w:r>
      <w:proofErr w:type="gramStart"/>
      <w:r w:rsidRPr="0043703E">
        <w:rPr>
          <w:sz w:val="22"/>
          <w:szCs w:val="22"/>
        </w:rPr>
        <w:t>Furthermore</w:t>
      </w:r>
      <w:proofErr w:type="gramEnd"/>
      <w:r w:rsidRPr="0043703E">
        <w:rPr>
          <w:sz w:val="22"/>
          <w:szCs w:val="22"/>
        </w:rPr>
        <w:t xml:space="preserve"> it is stated that Mid</w:t>
      </w:r>
      <w:r w:rsidR="00FE4345" w:rsidRPr="0043703E">
        <w:rPr>
          <w:sz w:val="22"/>
          <w:szCs w:val="22"/>
        </w:rPr>
        <w:t>h</w:t>
      </w:r>
      <w:r w:rsidRPr="0043703E">
        <w:rPr>
          <w:sz w:val="22"/>
          <w:szCs w:val="22"/>
        </w:rPr>
        <w:t>at P</w:t>
      </w:r>
      <w:r w:rsidR="00FE4345" w:rsidRPr="0043703E">
        <w:rPr>
          <w:sz w:val="22"/>
          <w:szCs w:val="22"/>
        </w:rPr>
        <w:t>as</w:t>
      </w:r>
      <w:r w:rsidRPr="0043703E">
        <w:rPr>
          <w:sz w:val="22"/>
          <w:szCs w:val="22"/>
        </w:rPr>
        <w:t>h</w:t>
      </w:r>
      <w:r w:rsidR="00FE4345" w:rsidRPr="0043703E">
        <w:rPr>
          <w:sz w:val="22"/>
          <w:szCs w:val="22"/>
        </w:rPr>
        <w:t>a</w:t>
      </w:r>
      <w:r w:rsidRPr="0043703E">
        <w:rPr>
          <w:sz w:val="22"/>
          <w:szCs w:val="22"/>
        </w:rPr>
        <w:t xml:space="preserve"> was the first senior ‘Turkish’</w:t>
      </w:r>
    </w:p>
    <w:p w14:paraId="6A14E911" w14:textId="77777777" w:rsidR="00670D77" w:rsidRPr="0043703E" w:rsidRDefault="00670D77" w:rsidP="0043703E">
      <w:pPr>
        <w:widowControl/>
        <w:kinsoku/>
        <w:overflowPunct/>
        <w:spacing w:line="264" w:lineRule="auto"/>
        <w:textAlignment w:val="auto"/>
        <w:rPr>
          <w:sz w:val="22"/>
          <w:szCs w:val="22"/>
        </w:rPr>
      </w:pPr>
      <w:r w:rsidRPr="0043703E">
        <w:rPr>
          <w:sz w:val="22"/>
          <w:szCs w:val="22"/>
        </w:rPr>
        <w:br w:type="page"/>
      </w:r>
    </w:p>
    <w:p w14:paraId="3F3E33A0" w14:textId="77777777" w:rsidR="004165B2" w:rsidRPr="0043703E" w:rsidRDefault="004165B2" w:rsidP="0043703E">
      <w:pPr>
        <w:pStyle w:val="Textcts"/>
        <w:spacing w:line="264" w:lineRule="auto"/>
        <w:rPr>
          <w:sz w:val="22"/>
          <w:szCs w:val="22"/>
        </w:rPr>
      </w:pPr>
      <w:r w:rsidRPr="0043703E">
        <w:rPr>
          <w:sz w:val="22"/>
          <w:szCs w:val="22"/>
        </w:rPr>
        <w:lastRenderedPageBreak/>
        <w:t>official who acknowledged and appreciated the efforts and success of the Templers, and that Mid</w:t>
      </w:r>
      <w:r w:rsidR="00A50EC0" w:rsidRPr="0043703E">
        <w:rPr>
          <w:sz w:val="22"/>
          <w:szCs w:val="22"/>
        </w:rPr>
        <w:t>h</w:t>
      </w:r>
      <w:r w:rsidRPr="0043703E">
        <w:rPr>
          <w:sz w:val="22"/>
          <w:szCs w:val="22"/>
        </w:rPr>
        <w:t>at P</w:t>
      </w:r>
      <w:r w:rsidR="00A50EC0" w:rsidRPr="0043703E">
        <w:rPr>
          <w:sz w:val="22"/>
          <w:szCs w:val="22"/>
        </w:rPr>
        <w:t>a</w:t>
      </w:r>
      <w:r w:rsidRPr="0043703E">
        <w:rPr>
          <w:sz w:val="22"/>
          <w:szCs w:val="22"/>
        </w:rPr>
        <w:t>sh</w:t>
      </w:r>
      <w:r w:rsidR="00A50EC0" w:rsidRPr="0043703E">
        <w:rPr>
          <w:sz w:val="22"/>
          <w:szCs w:val="22"/>
        </w:rPr>
        <w:t>a</w:t>
      </w:r>
      <w:r w:rsidRPr="0043703E">
        <w:rPr>
          <w:sz w:val="22"/>
          <w:szCs w:val="22"/>
        </w:rPr>
        <w:t xml:space="preserve"> was a man who correctly judged the situation of ‘Turkey’ and was eager to bring about better conditions.  However, the writer asked prophetically whether the Ottoman government in Istanbul would support the endeavours of </w:t>
      </w:r>
      <w:r w:rsidR="00666FA7" w:rsidRPr="0043703E">
        <w:rPr>
          <w:sz w:val="22"/>
          <w:szCs w:val="22"/>
        </w:rPr>
        <w:t>Midhat Pasha</w:t>
      </w:r>
      <w:r w:rsidRPr="0043703E">
        <w:rPr>
          <w:sz w:val="22"/>
          <w:szCs w:val="22"/>
        </w:rPr>
        <w:t xml:space="preserve"> or rather put obstacles in his way, unless he was backed up by substantial foreign aid.  It was hoped that the </w:t>
      </w:r>
      <w:r w:rsidRPr="0043703E">
        <w:rPr>
          <w:i/>
          <w:sz w:val="22"/>
          <w:szCs w:val="22"/>
        </w:rPr>
        <w:t>vâli</w:t>
      </w:r>
      <w:r w:rsidRPr="0043703E">
        <w:rPr>
          <w:sz w:val="22"/>
          <w:szCs w:val="22"/>
        </w:rPr>
        <w:t xml:space="preserve"> would have sufficient time and space to take steps for the good of that underdeveloped region and would fulfil the promises of support that he had given the Templers, the aim of whom was the welfare of the land.</w:t>
      </w:r>
      <w:r w:rsidR="00666FA7" w:rsidRPr="0043703E">
        <w:rPr>
          <w:rStyle w:val="FootnoteReference"/>
          <w:sz w:val="22"/>
          <w:szCs w:val="22"/>
        </w:rPr>
        <w:footnoteReference w:id="6"/>
      </w:r>
      <w:r w:rsidRPr="0043703E">
        <w:rPr>
          <w:sz w:val="22"/>
          <w:szCs w:val="22"/>
        </w:rPr>
        <w:t xml:space="preserve"> </w:t>
      </w:r>
      <w:r w:rsidR="00666FA7" w:rsidRPr="0043703E">
        <w:rPr>
          <w:sz w:val="22"/>
          <w:szCs w:val="22"/>
        </w:rPr>
        <w:t xml:space="preserve"> </w:t>
      </w:r>
      <w:r w:rsidRPr="0043703E">
        <w:rPr>
          <w:sz w:val="22"/>
          <w:szCs w:val="22"/>
        </w:rPr>
        <w:t xml:space="preserve">The plans for a more prosperous and orderly Syrian province did not materialize.  Sultan Abdülhamid made a great effort to undermine the reform attempts of </w:t>
      </w:r>
      <w:r w:rsidR="00666FA7" w:rsidRPr="0043703E">
        <w:rPr>
          <w:sz w:val="22"/>
          <w:szCs w:val="22"/>
        </w:rPr>
        <w:t>Midhat Pasha</w:t>
      </w:r>
      <w:r w:rsidRPr="0043703E">
        <w:rPr>
          <w:sz w:val="22"/>
          <w:szCs w:val="22"/>
        </w:rPr>
        <w:t xml:space="preserve">.  It was </w:t>
      </w:r>
      <w:proofErr w:type="gramStart"/>
      <w:r w:rsidRPr="0043703E">
        <w:rPr>
          <w:sz w:val="22"/>
          <w:szCs w:val="22"/>
        </w:rPr>
        <w:t>in the course of</w:t>
      </w:r>
      <w:proofErr w:type="gramEnd"/>
      <w:r w:rsidRPr="0043703E">
        <w:rPr>
          <w:sz w:val="22"/>
          <w:szCs w:val="22"/>
        </w:rPr>
        <w:t xml:space="preserve"> this strenuous period that </w:t>
      </w:r>
      <w:r w:rsidR="00666FA7" w:rsidRPr="0043703E">
        <w:rPr>
          <w:sz w:val="22"/>
          <w:szCs w:val="22"/>
        </w:rPr>
        <w:t xml:space="preserve">Midhat Pasha </w:t>
      </w:r>
      <w:r w:rsidRPr="0043703E">
        <w:rPr>
          <w:sz w:val="22"/>
          <w:szCs w:val="22"/>
        </w:rPr>
        <w:t>visited ‘Akká and had an encounter with ‘Abdu’l-Bahá, prior to their meeting in Beirut.</w:t>
      </w:r>
    </w:p>
    <w:p w14:paraId="504F6408" w14:textId="69CBC3B0" w:rsidR="004165B2" w:rsidRDefault="004165B2" w:rsidP="0043703E">
      <w:pPr>
        <w:pStyle w:val="Text"/>
        <w:spacing w:line="264" w:lineRule="auto"/>
        <w:rPr>
          <w:sz w:val="22"/>
          <w:szCs w:val="22"/>
        </w:rPr>
      </w:pPr>
      <w:r w:rsidRPr="0043703E">
        <w:rPr>
          <w:sz w:val="22"/>
          <w:szCs w:val="22"/>
        </w:rPr>
        <w:t xml:space="preserve">After several offers of resignation that were rejected, Midḥat was recalled in August 1880, ordered to Izmir as governor of the Aydın province and finally charged, in 1881, with the murder of Sultan Abdülaziz, </w:t>
      </w:r>
      <w:proofErr w:type="gramStart"/>
      <w:r w:rsidRPr="0043703E">
        <w:rPr>
          <w:sz w:val="22"/>
          <w:szCs w:val="22"/>
        </w:rPr>
        <w:t>in spite of</w:t>
      </w:r>
      <w:proofErr w:type="gramEnd"/>
      <w:r w:rsidRPr="0043703E">
        <w:rPr>
          <w:sz w:val="22"/>
          <w:szCs w:val="22"/>
        </w:rPr>
        <w:t xml:space="preserve"> the latter’s confirmed suicide.  Due to Western pressure and especially as a result of British diplomacy, Abdülhamid turned the death sentence into life-long imprisonment in remote Taif on the Arabian Peninsula.  However, on 8 May 1884 Abdülhamid ordered </w:t>
      </w:r>
      <w:r w:rsidR="00D91AE6" w:rsidRPr="0043703E">
        <w:rPr>
          <w:sz w:val="22"/>
          <w:szCs w:val="22"/>
        </w:rPr>
        <w:t>Midhat Pasha—</w:t>
      </w:r>
      <w:r w:rsidRPr="0043703E">
        <w:rPr>
          <w:sz w:val="22"/>
          <w:szCs w:val="22"/>
        </w:rPr>
        <w:t>who was called ‘father of the liberals’ (</w:t>
      </w:r>
      <w:r w:rsidRPr="0043703E">
        <w:rPr>
          <w:i/>
          <w:sz w:val="22"/>
          <w:szCs w:val="22"/>
        </w:rPr>
        <w:t>Abu’l-Ahrâr</w:t>
      </w:r>
      <w:r w:rsidRPr="0043703E">
        <w:rPr>
          <w:sz w:val="22"/>
          <w:szCs w:val="22"/>
        </w:rPr>
        <w:t>) by his supporters, and who had displayed tolerance toward other religions and cared for the well- being of the generations after him</w:t>
      </w:r>
      <w:r w:rsidR="00D91AE6" w:rsidRPr="0043703E">
        <w:rPr>
          <w:sz w:val="22"/>
          <w:szCs w:val="22"/>
        </w:rPr>
        <w:t>—</w:t>
      </w:r>
      <w:r w:rsidRPr="0043703E">
        <w:rPr>
          <w:sz w:val="22"/>
          <w:szCs w:val="22"/>
        </w:rPr>
        <w:t>to be strangled.</w:t>
      </w:r>
      <w:r w:rsidR="00D91AE6" w:rsidRPr="0043703E">
        <w:rPr>
          <w:rStyle w:val="FootnoteReference"/>
          <w:sz w:val="22"/>
          <w:szCs w:val="22"/>
        </w:rPr>
        <w:footnoteReference w:id="7"/>
      </w:r>
    </w:p>
    <w:p w14:paraId="491F2A40" w14:textId="77777777" w:rsidR="009F696C" w:rsidRPr="0043703E" w:rsidRDefault="009F696C" w:rsidP="0043703E">
      <w:pPr>
        <w:pStyle w:val="Text"/>
        <w:spacing w:line="264" w:lineRule="auto"/>
        <w:rPr>
          <w:sz w:val="22"/>
          <w:szCs w:val="22"/>
        </w:rPr>
      </w:pPr>
    </w:p>
    <w:p w14:paraId="10BD57C2" w14:textId="77777777" w:rsidR="004165B2" w:rsidRPr="0043703E" w:rsidRDefault="00D91AE6" w:rsidP="0043703E">
      <w:pPr>
        <w:pStyle w:val="Myhead"/>
        <w:spacing w:line="264" w:lineRule="auto"/>
        <w:rPr>
          <w:sz w:val="22"/>
          <w:szCs w:val="22"/>
        </w:rPr>
      </w:pPr>
      <w:r w:rsidRPr="0043703E">
        <w:rPr>
          <w:sz w:val="22"/>
          <w:szCs w:val="22"/>
        </w:rPr>
        <w:t>Midhat Pasha</w:t>
      </w:r>
      <w:r w:rsidR="004165B2" w:rsidRPr="0043703E">
        <w:rPr>
          <w:sz w:val="22"/>
          <w:szCs w:val="22"/>
        </w:rPr>
        <w:t xml:space="preserve"> and the Bahá’ís</w:t>
      </w:r>
    </w:p>
    <w:p w14:paraId="4ADC6094" w14:textId="77777777" w:rsidR="004165B2" w:rsidRPr="0043703E" w:rsidRDefault="004165B2" w:rsidP="0043703E">
      <w:pPr>
        <w:pStyle w:val="Text"/>
        <w:spacing w:line="264" w:lineRule="auto"/>
        <w:rPr>
          <w:sz w:val="22"/>
          <w:szCs w:val="22"/>
        </w:rPr>
      </w:pPr>
      <w:r w:rsidRPr="0043703E">
        <w:rPr>
          <w:sz w:val="22"/>
          <w:szCs w:val="22"/>
        </w:rPr>
        <w:t xml:space="preserve">Before we discuss ‘Abdu’l-Bahá’s visit to Beirut and the circumstances leading to it, let us briefly look at </w:t>
      </w:r>
      <w:r w:rsidR="00D91AE6" w:rsidRPr="0043703E">
        <w:rPr>
          <w:sz w:val="22"/>
          <w:szCs w:val="22"/>
        </w:rPr>
        <w:t>Midhat Pasha</w:t>
      </w:r>
      <w:r w:rsidRPr="0043703E">
        <w:rPr>
          <w:sz w:val="22"/>
          <w:szCs w:val="22"/>
        </w:rPr>
        <w:t xml:space="preserve">’s relationship with the Bahá’ís.  At present, two previous encounters of </w:t>
      </w:r>
      <w:r w:rsidR="00D91AE6" w:rsidRPr="0043703E">
        <w:rPr>
          <w:sz w:val="22"/>
          <w:szCs w:val="22"/>
        </w:rPr>
        <w:t>Midhat Pasha</w:t>
      </w:r>
      <w:r w:rsidRPr="0043703E">
        <w:rPr>
          <w:sz w:val="22"/>
          <w:szCs w:val="22"/>
        </w:rPr>
        <w:t xml:space="preserve"> with Bahá’ís can be established.  The first was when some 70 Bahá’ís were exiled from Baghdad to Mosul in 1868, after Bahá’u’lláh was banished to Istanbul.  According to a Bahá’í source this occurred through the instigation of the Persian consul in Baghdad, M</w:t>
      </w:r>
      <w:r w:rsidR="00583E0E" w:rsidRPr="0043703E">
        <w:rPr>
          <w:sz w:val="22"/>
          <w:szCs w:val="22"/>
        </w:rPr>
        <w:t>í</w:t>
      </w:r>
      <w:r w:rsidRPr="0043703E">
        <w:rPr>
          <w:sz w:val="22"/>
          <w:szCs w:val="22"/>
        </w:rPr>
        <w:t>rz</w:t>
      </w:r>
      <w:r w:rsidR="00583E0E" w:rsidRPr="0043703E">
        <w:rPr>
          <w:sz w:val="22"/>
          <w:szCs w:val="22"/>
        </w:rPr>
        <w:t>á</w:t>
      </w:r>
      <w:r w:rsidRPr="0043703E">
        <w:rPr>
          <w:sz w:val="22"/>
          <w:szCs w:val="22"/>
        </w:rPr>
        <w:t xml:space="preserve"> Buzurg </w:t>
      </w:r>
      <w:r w:rsidRPr="0043703E">
        <w:rPr>
          <w:sz w:val="22"/>
          <w:szCs w:val="22"/>
          <w:u w:val="single"/>
        </w:rPr>
        <w:t>Kh</w:t>
      </w:r>
      <w:r w:rsidR="00583E0E" w:rsidRPr="0043703E">
        <w:rPr>
          <w:sz w:val="22"/>
          <w:szCs w:val="22"/>
        </w:rPr>
        <w:t>á</w:t>
      </w:r>
      <w:r w:rsidRPr="0043703E">
        <w:rPr>
          <w:sz w:val="22"/>
          <w:szCs w:val="22"/>
        </w:rPr>
        <w:t xml:space="preserve">n.  </w:t>
      </w:r>
      <w:r w:rsidR="00D91AE6" w:rsidRPr="0043703E">
        <w:rPr>
          <w:sz w:val="22"/>
          <w:szCs w:val="22"/>
        </w:rPr>
        <w:t>Midhat Pasha</w:t>
      </w:r>
      <w:r w:rsidRPr="0043703E">
        <w:rPr>
          <w:sz w:val="22"/>
          <w:szCs w:val="22"/>
        </w:rPr>
        <w:t xml:space="preserve">, who became </w:t>
      </w:r>
      <w:r w:rsidRPr="0043703E">
        <w:rPr>
          <w:i/>
          <w:sz w:val="22"/>
          <w:szCs w:val="22"/>
        </w:rPr>
        <w:t>vâli</w:t>
      </w:r>
      <w:r w:rsidRPr="0043703E">
        <w:rPr>
          <w:sz w:val="22"/>
          <w:szCs w:val="22"/>
        </w:rPr>
        <w:t xml:space="preserve"> of Baghdad in 1869, was passing through Mosul and, seeing that the Bahá’í captives (</w:t>
      </w:r>
      <w:r w:rsidRPr="0043703E">
        <w:rPr>
          <w:i/>
          <w:sz w:val="22"/>
          <w:szCs w:val="22"/>
        </w:rPr>
        <w:t>usará</w:t>
      </w:r>
      <w:r w:rsidRPr="0043703E">
        <w:rPr>
          <w:sz w:val="22"/>
          <w:szCs w:val="22"/>
        </w:rPr>
        <w:t>) were treated badly, he administered justice towards them and set them all free (</w:t>
      </w:r>
      <w:r w:rsidR="00583E0E" w:rsidRPr="0043703E">
        <w:rPr>
          <w:i/>
          <w:sz w:val="22"/>
          <w:szCs w:val="22"/>
        </w:rPr>
        <w:t>ḥ</w:t>
      </w:r>
      <w:r w:rsidRPr="0043703E">
        <w:rPr>
          <w:i/>
          <w:sz w:val="22"/>
          <w:szCs w:val="22"/>
        </w:rPr>
        <w:t>ukm-i</w:t>
      </w:r>
      <w:r w:rsidR="00771EE4" w:rsidRPr="0043703E">
        <w:rPr>
          <w:i/>
          <w:sz w:val="22"/>
          <w:szCs w:val="22"/>
        </w:rPr>
        <w:t>-</w:t>
      </w:r>
      <w:r w:rsidRPr="0043703E">
        <w:rPr>
          <w:i/>
          <w:sz w:val="22"/>
          <w:szCs w:val="22"/>
        </w:rPr>
        <w:t xml:space="preserve">‘adl dar </w:t>
      </w:r>
      <w:r w:rsidR="00583E0E" w:rsidRPr="0043703E">
        <w:rPr>
          <w:i/>
          <w:sz w:val="22"/>
          <w:szCs w:val="22"/>
        </w:rPr>
        <w:t>ḥ</w:t>
      </w:r>
      <w:r w:rsidRPr="0043703E">
        <w:rPr>
          <w:i/>
          <w:sz w:val="22"/>
          <w:szCs w:val="22"/>
        </w:rPr>
        <w:t>aqq-i</w:t>
      </w:r>
      <w:r w:rsidR="00771EE4" w:rsidRPr="0043703E">
        <w:rPr>
          <w:i/>
          <w:sz w:val="22"/>
          <w:szCs w:val="22"/>
        </w:rPr>
        <w:t>-</w:t>
      </w:r>
      <w:r w:rsidRPr="0043703E">
        <w:rPr>
          <w:i/>
          <w:sz w:val="22"/>
          <w:szCs w:val="22"/>
        </w:rPr>
        <w:t>usará nam</w:t>
      </w:r>
      <w:r w:rsidR="00583E0E" w:rsidRPr="0043703E">
        <w:rPr>
          <w:i/>
          <w:sz w:val="22"/>
          <w:szCs w:val="22"/>
        </w:rPr>
        <w:t>ú</w:t>
      </w:r>
      <w:r w:rsidRPr="0043703E">
        <w:rPr>
          <w:i/>
          <w:sz w:val="22"/>
          <w:szCs w:val="22"/>
        </w:rPr>
        <w:t xml:space="preserve">dih hamih-rá </w:t>
      </w:r>
      <w:r w:rsidR="00583E0E" w:rsidRPr="0043703E">
        <w:rPr>
          <w:i/>
          <w:sz w:val="22"/>
          <w:szCs w:val="22"/>
        </w:rPr>
        <w:t>á</w:t>
      </w:r>
      <w:r w:rsidRPr="0043703E">
        <w:rPr>
          <w:i/>
          <w:sz w:val="22"/>
          <w:szCs w:val="22"/>
        </w:rPr>
        <w:t>z</w:t>
      </w:r>
      <w:r w:rsidR="00583E0E" w:rsidRPr="0043703E">
        <w:rPr>
          <w:i/>
          <w:sz w:val="22"/>
          <w:szCs w:val="22"/>
        </w:rPr>
        <w:t>á</w:t>
      </w:r>
      <w:r w:rsidRPr="0043703E">
        <w:rPr>
          <w:i/>
          <w:sz w:val="22"/>
          <w:szCs w:val="22"/>
        </w:rPr>
        <w:t>d s</w:t>
      </w:r>
      <w:r w:rsidR="00583E0E" w:rsidRPr="0043703E">
        <w:rPr>
          <w:i/>
          <w:sz w:val="22"/>
          <w:szCs w:val="22"/>
        </w:rPr>
        <w:t>á</w:t>
      </w:r>
      <w:r w:rsidRPr="0043703E">
        <w:rPr>
          <w:i/>
          <w:sz w:val="22"/>
          <w:szCs w:val="22"/>
          <w:u w:val="single"/>
        </w:rPr>
        <w:t>kh</w:t>
      </w:r>
      <w:r w:rsidRPr="0043703E">
        <w:rPr>
          <w:i/>
          <w:sz w:val="22"/>
          <w:szCs w:val="22"/>
        </w:rPr>
        <w:t>t</w:t>
      </w:r>
      <w:r w:rsidRPr="0043703E">
        <w:rPr>
          <w:sz w:val="22"/>
          <w:szCs w:val="22"/>
        </w:rPr>
        <w:t>).</w:t>
      </w:r>
      <w:r w:rsidR="00583E0E" w:rsidRPr="0043703E">
        <w:rPr>
          <w:rStyle w:val="FootnoteReference"/>
          <w:sz w:val="22"/>
          <w:szCs w:val="22"/>
        </w:rPr>
        <w:footnoteReference w:id="8"/>
      </w:r>
      <w:r w:rsidRPr="0043703E">
        <w:rPr>
          <w:sz w:val="22"/>
          <w:szCs w:val="22"/>
        </w:rPr>
        <w:t xml:space="preserve"> </w:t>
      </w:r>
      <w:r w:rsidR="00583E0E" w:rsidRPr="0043703E">
        <w:rPr>
          <w:sz w:val="22"/>
          <w:szCs w:val="22"/>
        </w:rPr>
        <w:t xml:space="preserve"> </w:t>
      </w:r>
      <w:r w:rsidRPr="0043703E">
        <w:rPr>
          <w:sz w:val="22"/>
          <w:szCs w:val="22"/>
        </w:rPr>
        <w:t xml:space="preserve">Another Bahá’í account, without specifying the source, maintains that the Bahá’ís were forced to stay in Mosul for twenty years and does not mention </w:t>
      </w:r>
      <w:r w:rsidR="00D91AE6" w:rsidRPr="0043703E">
        <w:rPr>
          <w:sz w:val="22"/>
          <w:szCs w:val="22"/>
        </w:rPr>
        <w:t>Midhat Pasha</w:t>
      </w:r>
      <w:r w:rsidRPr="0043703E">
        <w:rPr>
          <w:sz w:val="22"/>
          <w:szCs w:val="22"/>
        </w:rPr>
        <w:t>.</w:t>
      </w:r>
      <w:r w:rsidR="00633351" w:rsidRPr="0043703E">
        <w:rPr>
          <w:rStyle w:val="FootnoteReference"/>
          <w:sz w:val="22"/>
          <w:szCs w:val="22"/>
        </w:rPr>
        <w:footnoteReference w:id="9"/>
      </w:r>
      <w:r w:rsidRPr="0043703E">
        <w:rPr>
          <w:sz w:val="22"/>
          <w:szCs w:val="22"/>
        </w:rPr>
        <w:t xml:space="preserve"> </w:t>
      </w:r>
      <w:r w:rsidR="00633351" w:rsidRPr="0043703E">
        <w:rPr>
          <w:sz w:val="22"/>
          <w:szCs w:val="22"/>
        </w:rPr>
        <w:t xml:space="preserve"> </w:t>
      </w:r>
      <w:r w:rsidRPr="0043703E">
        <w:rPr>
          <w:sz w:val="22"/>
          <w:szCs w:val="22"/>
        </w:rPr>
        <w:t>It may be that some Bahá’ís were freed and others had to stay.</w:t>
      </w:r>
      <w:r w:rsidR="00FB1B9D" w:rsidRPr="0043703E">
        <w:rPr>
          <w:rStyle w:val="FootnoteReference"/>
          <w:sz w:val="22"/>
          <w:szCs w:val="22"/>
        </w:rPr>
        <w:footnoteReference w:id="10"/>
      </w:r>
    </w:p>
    <w:p w14:paraId="0371E2F7" w14:textId="77777777" w:rsidR="00FB1B9D" w:rsidRPr="0043703E" w:rsidRDefault="00FB1B9D" w:rsidP="0043703E">
      <w:pPr>
        <w:widowControl/>
        <w:kinsoku/>
        <w:overflowPunct/>
        <w:spacing w:line="264" w:lineRule="auto"/>
        <w:textAlignment w:val="auto"/>
        <w:rPr>
          <w:sz w:val="22"/>
          <w:szCs w:val="22"/>
        </w:rPr>
      </w:pPr>
      <w:r w:rsidRPr="0043703E">
        <w:rPr>
          <w:sz w:val="22"/>
          <w:szCs w:val="22"/>
        </w:rPr>
        <w:br w:type="page"/>
      </w:r>
    </w:p>
    <w:p w14:paraId="431CBF00" w14:textId="0F381503" w:rsidR="004165B2" w:rsidRDefault="004165B2" w:rsidP="0043703E">
      <w:pPr>
        <w:pStyle w:val="Text"/>
        <w:spacing w:line="264" w:lineRule="auto"/>
        <w:rPr>
          <w:sz w:val="22"/>
          <w:szCs w:val="22"/>
        </w:rPr>
      </w:pPr>
      <w:r w:rsidRPr="0043703E">
        <w:rPr>
          <w:sz w:val="22"/>
          <w:szCs w:val="22"/>
        </w:rPr>
        <w:lastRenderedPageBreak/>
        <w:t xml:space="preserve">The second recorded contact of </w:t>
      </w:r>
      <w:r w:rsidR="00D91AE6" w:rsidRPr="0043703E">
        <w:rPr>
          <w:sz w:val="22"/>
          <w:szCs w:val="22"/>
        </w:rPr>
        <w:t>Midhat Pasha</w:t>
      </w:r>
      <w:r w:rsidRPr="0043703E">
        <w:rPr>
          <w:sz w:val="22"/>
          <w:szCs w:val="22"/>
        </w:rPr>
        <w:t xml:space="preserve"> with Bahá’ís is based on a British consular report.  When </w:t>
      </w:r>
      <w:r w:rsidR="00C274E1" w:rsidRPr="0043703E">
        <w:rPr>
          <w:sz w:val="22"/>
          <w:szCs w:val="22"/>
        </w:rPr>
        <w:t>Náṣiri’d</w:t>
      </w:r>
      <w:r w:rsidRPr="0043703E">
        <w:rPr>
          <w:sz w:val="22"/>
          <w:szCs w:val="22"/>
        </w:rPr>
        <w:t>-D</w:t>
      </w:r>
      <w:r w:rsidR="00D110E3" w:rsidRPr="0043703E">
        <w:rPr>
          <w:sz w:val="22"/>
          <w:szCs w:val="22"/>
        </w:rPr>
        <w:t>í</w:t>
      </w:r>
      <w:r w:rsidRPr="0043703E">
        <w:rPr>
          <w:sz w:val="22"/>
          <w:szCs w:val="22"/>
        </w:rPr>
        <w:t xml:space="preserve">n </w:t>
      </w:r>
      <w:r w:rsidRPr="0043703E">
        <w:rPr>
          <w:sz w:val="22"/>
          <w:szCs w:val="22"/>
          <w:u w:val="single"/>
        </w:rPr>
        <w:t>Sh</w:t>
      </w:r>
      <w:r w:rsidR="00D110E3" w:rsidRPr="0043703E">
        <w:rPr>
          <w:sz w:val="22"/>
          <w:szCs w:val="22"/>
        </w:rPr>
        <w:t>á</w:t>
      </w:r>
      <w:r w:rsidRPr="0043703E">
        <w:rPr>
          <w:sz w:val="22"/>
          <w:szCs w:val="22"/>
        </w:rPr>
        <w:t>h intended to visit the holy cities of Karbala and Najaf in 1870, the Persian Foreign Minister, M</w:t>
      </w:r>
      <w:r w:rsidR="00D110E3" w:rsidRPr="0043703E">
        <w:rPr>
          <w:sz w:val="22"/>
          <w:szCs w:val="22"/>
        </w:rPr>
        <w:t>í</w:t>
      </w:r>
      <w:r w:rsidRPr="0043703E">
        <w:rPr>
          <w:sz w:val="22"/>
          <w:szCs w:val="22"/>
        </w:rPr>
        <w:t>rz</w:t>
      </w:r>
      <w:r w:rsidR="00D110E3" w:rsidRPr="0043703E">
        <w:rPr>
          <w:sz w:val="22"/>
          <w:szCs w:val="22"/>
        </w:rPr>
        <w:t>á</w:t>
      </w:r>
      <w:r w:rsidRPr="0043703E">
        <w:rPr>
          <w:sz w:val="22"/>
          <w:szCs w:val="22"/>
        </w:rPr>
        <w:t xml:space="preserve"> </w:t>
      </w:r>
      <w:proofErr w:type="gramStart"/>
      <w:r w:rsidRPr="0043703E">
        <w:rPr>
          <w:sz w:val="22"/>
          <w:szCs w:val="22"/>
        </w:rPr>
        <w:t>Sa</w:t>
      </w:r>
      <w:r w:rsidR="00D110E3" w:rsidRPr="0043703E">
        <w:rPr>
          <w:sz w:val="22"/>
          <w:szCs w:val="22"/>
        </w:rPr>
        <w:t>‘</w:t>
      </w:r>
      <w:proofErr w:type="gramEnd"/>
      <w:r w:rsidR="00D110E3" w:rsidRPr="0043703E">
        <w:rPr>
          <w:sz w:val="22"/>
          <w:szCs w:val="22"/>
        </w:rPr>
        <w:t>í</w:t>
      </w:r>
      <w:r w:rsidRPr="0043703E">
        <w:rPr>
          <w:sz w:val="22"/>
          <w:szCs w:val="22"/>
        </w:rPr>
        <w:t xml:space="preserve">d </w:t>
      </w:r>
      <w:r w:rsidRPr="0043703E">
        <w:rPr>
          <w:sz w:val="22"/>
          <w:szCs w:val="22"/>
          <w:u w:val="single"/>
        </w:rPr>
        <w:t>Kh</w:t>
      </w:r>
      <w:r w:rsidR="00D110E3" w:rsidRPr="0043703E">
        <w:rPr>
          <w:sz w:val="22"/>
          <w:szCs w:val="22"/>
        </w:rPr>
        <w:t>á</w:t>
      </w:r>
      <w:r w:rsidRPr="0043703E">
        <w:rPr>
          <w:sz w:val="22"/>
          <w:szCs w:val="22"/>
        </w:rPr>
        <w:t>n, considering security, asked the Ottoman authorities to remove the ‘B</w:t>
      </w:r>
      <w:r w:rsidR="00D110E3" w:rsidRPr="0043703E">
        <w:rPr>
          <w:sz w:val="22"/>
          <w:szCs w:val="22"/>
        </w:rPr>
        <w:t>á</w:t>
      </w:r>
      <w:r w:rsidRPr="0043703E">
        <w:rPr>
          <w:sz w:val="22"/>
          <w:szCs w:val="22"/>
        </w:rPr>
        <w:t>b</w:t>
      </w:r>
      <w:r w:rsidR="00D110E3" w:rsidRPr="0043703E">
        <w:rPr>
          <w:sz w:val="22"/>
          <w:szCs w:val="22"/>
        </w:rPr>
        <w:t>í</w:t>
      </w:r>
      <w:r w:rsidRPr="0043703E">
        <w:rPr>
          <w:sz w:val="22"/>
          <w:szCs w:val="22"/>
        </w:rPr>
        <w:t>s’ (Bahá’ís) in Baghdad.  Charles Herbert, the British consul in Baghdad at that time, mentions in a letter that he was informed of the arrests of B</w:t>
      </w:r>
      <w:r w:rsidR="00D110E3" w:rsidRPr="0043703E">
        <w:rPr>
          <w:sz w:val="22"/>
          <w:szCs w:val="22"/>
        </w:rPr>
        <w:t>á</w:t>
      </w:r>
      <w:r w:rsidRPr="0043703E">
        <w:rPr>
          <w:sz w:val="22"/>
          <w:szCs w:val="22"/>
        </w:rPr>
        <w:t>b</w:t>
      </w:r>
      <w:r w:rsidR="00D110E3" w:rsidRPr="0043703E">
        <w:rPr>
          <w:sz w:val="22"/>
          <w:szCs w:val="22"/>
        </w:rPr>
        <w:t>í</w:t>
      </w:r>
      <w:r w:rsidRPr="0043703E">
        <w:rPr>
          <w:sz w:val="22"/>
          <w:szCs w:val="22"/>
        </w:rPr>
        <w:t xml:space="preserve">s in Baghdad and asked the </w:t>
      </w:r>
      <w:r w:rsidRPr="0043703E">
        <w:rPr>
          <w:i/>
          <w:sz w:val="22"/>
          <w:szCs w:val="22"/>
        </w:rPr>
        <w:t>vâli</w:t>
      </w:r>
      <w:r w:rsidRPr="0043703E">
        <w:rPr>
          <w:sz w:val="22"/>
          <w:szCs w:val="22"/>
        </w:rPr>
        <w:t xml:space="preserve">, </w:t>
      </w:r>
      <w:r w:rsidR="00D91AE6" w:rsidRPr="0043703E">
        <w:rPr>
          <w:sz w:val="22"/>
          <w:szCs w:val="22"/>
        </w:rPr>
        <w:t>Midhat Pasha</w:t>
      </w:r>
      <w:r w:rsidRPr="0043703E">
        <w:rPr>
          <w:sz w:val="22"/>
          <w:szCs w:val="22"/>
        </w:rPr>
        <w:t>, about the situation.  The latter told Elliott that he had received orders from Istanbul to take measures ‘with the view of preventing the occurrence of any acts on their part that might endanger the safety of His Majesty or give cause of umbrage’, and that he ‘had called upon the Babis to retire for a time from this city and had even offered assistance to those who might be without the means of travelling’.</w:t>
      </w:r>
      <w:r w:rsidR="00342FD3" w:rsidRPr="0043703E">
        <w:rPr>
          <w:rStyle w:val="FootnoteReference"/>
          <w:sz w:val="22"/>
          <w:szCs w:val="22"/>
        </w:rPr>
        <w:footnoteReference w:id="11"/>
      </w:r>
      <w:r w:rsidRPr="0043703E">
        <w:rPr>
          <w:sz w:val="22"/>
          <w:szCs w:val="22"/>
        </w:rPr>
        <w:t xml:space="preserve"> </w:t>
      </w:r>
      <w:r w:rsidR="00342FD3" w:rsidRPr="0043703E">
        <w:rPr>
          <w:sz w:val="22"/>
          <w:szCs w:val="22"/>
        </w:rPr>
        <w:t xml:space="preserve"> </w:t>
      </w:r>
      <w:r w:rsidR="00D91AE6" w:rsidRPr="0043703E">
        <w:rPr>
          <w:sz w:val="22"/>
          <w:szCs w:val="22"/>
        </w:rPr>
        <w:t>Midhat Pasha</w:t>
      </w:r>
      <w:r w:rsidRPr="0043703E">
        <w:rPr>
          <w:sz w:val="22"/>
          <w:szCs w:val="22"/>
        </w:rPr>
        <w:t xml:space="preserve"> is furthermore reported to have stated that he had asked ‘principal known members of that sect’ to leave Baghdad for a certain period and that he himself was reluctant to persecute decent subjects of the Empire and did not have problems with their religious ideas.  Yet the </w:t>
      </w:r>
      <w:r w:rsidRPr="0043703E">
        <w:rPr>
          <w:i/>
          <w:sz w:val="22"/>
          <w:szCs w:val="22"/>
        </w:rPr>
        <w:t>vâli</w:t>
      </w:r>
      <w:r w:rsidRPr="0043703E">
        <w:rPr>
          <w:sz w:val="22"/>
          <w:szCs w:val="22"/>
        </w:rPr>
        <w:t xml:space="preserve"> stressed that, in the interest of the safety of the Shah, it was compulsory to act thus.</w:t>
      </w:r>
      <w:r w:rsidR="00C828AF" w:rsidRPr="0043703E">
        <w:rPr>
          <w:rStyle w:val="FootnoteReference"/>
          <w:sz w:val="22"/>
          <w:szCs w:val="22"/>
        </w:rPr>
        <w:footnoteReference w:id="12"/>
      </w:r>
      <w:r w:rsidRPr="0043703E">
        <w:rPr>
          <w:sz w:val="22"/>
          <w:szCs w:val="22"/>
        </w:rPr>
        <w:t xml:space="preserve"> </w:t>
      </w:r>
      <w:r w:rsidR="00C5228B" w:rsidRPr="0043703E">
        <w:rPr>
          <w:sz w:val="22"/>
          <w:szCs w:val="22"/>
        </w:rPr>
        <w:t xml:space="preserve"> </w:t>
      </w:r>
      <w:r w:rsidRPr="0043703E">
        <w:rPr>
          <w:sz w:val="22"/>
          <w:szCs w:val="22"/>
        </w:rPr>
        <w:t xml:space="preserve">It seems that through these occurrences and perhaps others, </w:t>
      </w:r>
      <w:r w:rsidR="00D91AE6" w:rsidRPr="0043703E">
        <w:rPr>
          <w:sz w:val="22"/>
          <w:szCs w:val="22"/>
        </w:rPr>
        <w:t>Midhat Pasha</w:t>
      </w:r>
      <w:r w:rsidRPr="0043703E">
        <w:rPr>
          <w:sz w:val="22"/>
          <w:szCs w:val="22"/>
        </w:rPr>
        <w:t xml:space="preserve"> came to know about ‘Abdu’l-Bahá and later met him in ‘Akká, which resulted in their meeting in Beirut.</w:t>
      </w:r>
    </w:p>
    <w:p w14:paraId="758AD2F4" w14:textId="77777777" w:rsidR="009F696C" w:rsidRPr="0043703E" w:rsidRDefault="009F696C" w:rsidP="0043703E">
      <w:pPr>
        <w:pStyle w:val="Text"/>
        <w:spacing w:line="264" w:lineRule="auto"/>
        <w:rPr>
          <w:sz w:val="22"/>
          <w:szCs w:val="22"/>
        </w:rPr>
      </w:pPr>
    </w:p>
    <w:p w14:paraId="40D82F5A" w14:textId="77777777" w:rsidR="004165B2" w:rsidRPr="0043703E" w:rsidRDefault="004165B2" w:rsidP="0043703E">
      <w:pPr>
        <w:pStyle w:val="Myhead"/>
        <w:spacing w:line="264" w:lineRule="auto"/>
        <w:rPr>
          <w:sz w:val="22"/>
          <w:szCs w:val="22"/>
        </w:rPr>
      </w:pPr>
      <w:r w:rsidRPr="0043703E">
        <w:rPr>
          <w:sz w:val="22"/>
          <w:szCs w:val="22"/>
        </w:rPr>
        <w:t xml:space="preserve">‘By the express invitation’ of </w:t>
      </w:r>
      <w:r w:rsidR="00D91AE6" w:rsidRPr="0043703E">
        <w:rPr>
          <w:sz w:val="22"/>
          <w:szCs w:val="22"/>
        </w:rPr>
        <w:t>Midhat Pasha</w:t>
      </w:r>
      <w:proofErr w:type="gramStart"/>
      <w:r w:rsidRPr="0043703E">
        <w:rPr>
          <w:sz w:val="22"/>
          <w:szCs w:val="22"/>
        </w:rPr>
        <w:t>:  ‘</w:t>
      </w:r>
      <w:proofErr w:type="gramEnd"/>
      <w:r w:rsidRPr="0043703E">
        <w:rPr>
          <w:sz w:val="22"/>
          <w:szCs w:val="22"/>
        </w:rPr>
        <w:t>Abdu’l-Bahá’s visit to Beirut</w:t>
      </w:r>
    </w:p>
    <w:p w14:paraId="409D6D0E" w14:textId="77777777" w:rsidR="004165B2" w:rsidRPr="0043703E" w:rsidRDefault="004165B2" w:rsidP="0043703E">
      <w:pPr>
        <w:pStyle w:val="Text"/>
        <w:spacing w:line="264" w:lineRule="auto"/>
        <w:rPr>
          <w:sz w:val="22"/>
          <w:szCs w:val="22"/>
        </w:rPr>
      </w:pPr>
      <w:r w:rsidRPr="0043703E">
        <w:rPr>
          <w:sz w:val="22"/>
          <w:szCs w:val="22"/>
        </w:rPr>
        <w:t xml:space="preserve">Bahá’í sources stress the importance of ‘Abdu’l-Bahá’s visit to Beirut, </w:t>
      </w:r>
      <w:proofErr w:type="gramStart"/>
      <w:r w:rsidRPr="0043703E">
        <w:rPr>
          <w:sz w:val="22"/>
          <w:szCs w:val="22"/>
        </w:rPr>
        <w:t>during the course of</w:t>
      </w:r>
      <w:proofErr w:type="gramEnd"/>
      <w:r w:rsidRPr="0043703E">
        <w:rPr>
          <w:sz w:val="22"/>
          <w:szCs w:val="22"/>
        </w:rPr>
        <w:t xml:space="preserve"> which he met not only </w:t>
      </w:r>
      <w:r w:rsidR="00D91AE6" w:rsidRPr="0043703E">
        <w:rPr>
          <w:sz w:val="22"/>
          <w:szCs w:val="22"/>
        </w:rPr>
        <w:t>Midhat Pasha</w:t>
      </w:r>
      <w:r w:rsidRPr="0043703E">
        <w:rPr>
          <w:sz w:val="22"/>
          <w:szCs w:val="22"/>
        </w:rPr>
        <w:t xml:space="preserve"> but also other notables.  According to Shoghi Effendi, it was through ‘Abdu’l-Bahá’s widespread influence that the Bahá’í Faith gained respect among a wide circle of officials and intellectuals in the Middle East:  ‘It was through the extraordinarily warm reception accorded Him during His visit to Beirut, through His contact with </w:t>
      </w:r>
      <w:r w:rsidR="00D91AE6" w:rsidRPr="0043703E">
        <w:rPr>
          <w:sz w:val="22"/>
          <w:szCs w:val="22"/>
        </w:rPr>
        <w:t>Mid</w:t>
      </w:r>
      <w:r w:rsidR="009D4E15" w:rsidRPr="0043703E">
        <w:rPr>
          <w:sz w:val="22"/>
          <w:szCs w:val="22"/>
        </w:rPr>
        <w:t>ḥ</w:t>
      </w:r>
      <w:r w:rsidR="00D91AE6" w:rsidRPr="0043703E">
        <w:rPr>
          <w:sz w:val="22"/>
          <w:szCs w:val="22"/>
        </w:rPr>
        <w:t>at P</w:t>
      </w:r>
      <w:r w:rsidR="009D4E15" w:rsidRPr="0043703E">
        <w:rPr>
          <w:sz w:val="22"/>
          <w:szCs w:val="22"/>
        </w:rPr>
        <w:t>á</w:t>
      </w:r>
      <w:r w:rsidR="00D91AE6" w:rsidRPr="0043703E">
        <w:rPr>
          <w:sz w:val="22"/>
          <w:szCs w:val="22"/>
          <w:u w:val="single"/>
        </w:rPr>
        <w:t>sh</w:t>
      </w:r>
      <w:r w:rsidR="009D4E15" w:rsidRPr="0043703E">
        <w:rPr>
          <w:sz w:val="22"/>
          <w:szCs w:val="22"/>
        </w:rPr>
        <w:t>á</w:t>
      </w:r>
      <w:r w:rsidRPr="0043703E">
        <w:rPr>
          <w:sz w:val="22"/>
          <w:szCs w:val="22"/>
        </w:rPr>
        <w:t>, a former Grand Vizir of Turkey [sic], … and through His constant association with officials, notables and leading ecclesiastics who, in increasing number had besought His presence, during the final years of His Father’s ministry, that He had succeeded in raising the prestige of the Cause He had championed to a level it had never previously attained.’</w:t>
      </w:r>
      <w:r w:rsidR="009D4E15" w:rsidRPr="0043703E">
        <w:rPr>
          <w:rStyle w:val="FootnoteReference"/>
          <w:sz w:val="22"/>
          <w:szCs w:val="22"/>
        </w:rPr>
        <w:footnoteReference w:id="13"/>
      </w:r>
      <w:r w:rsidRPr="0043703E">
        <w:rPr>
          <w:sz w:val="22"/>
          <w:szCs w:val="22"/>
        </w:rPr>
        <w:t xml:space="preserve"> </w:t>
      </w:r>
      <w:r w:rsidR="009D4E15" w:rsidRPr="0043703E">
        <w:rPr>
          <w:sz w:val="22"/>
          <w:szCs w:val="22"/>
        </w:rPr>
        <w:t xml:space="preserve"> </w:t>
      </w:r>
      <w:r w:rsidRPr="0043703E">
        <w:rPr>
          <w:sz w:val="22"/>
          <w:szCs w:val="22"/>
        </w:rPr>
        <w:t>The significance of this ‘historic journey, unparalleled in the religious annals of mankind’,</w:t>
      </w:r>
      <w:r w:rsidR="00581F47" w:rsidRPr="0043703E">
        <w:rPr>
          <w:rStyle w:val="FootnoteReference"/>
          <w:sz w:val="22"/>
          <w:szCs w:val="22"/>
        </w:rPr>
        <w:footnoteReference w:id="14"/>
      </w:r>
      <w:r w:rsidRPr="0043703E">
        <w:rPr>
          <w:sz w:val="22"/>
          <w:szCs w:val="22"/>
        </w:rPr>
        <w:t xml:space="preserve"> from the Bahá’í viewpoint, is that </w:t>
      </w:r>
      <w:r w:rsidR="00D91AE6" w:rsidRPr="0043703E">
        <w:rPr>
          <w:sz w:val="22"/>
          <w:szCs w:val="22"/>
        </w:rPr>
        <w:t>Midhat Pasha</w:t>
      </w:r>
      <w:r w:rsidRPr="0043703E">
        <w:rPr>
          <w:sz w:val="22"/>
          <w:szCs w:val="22"/>
        </w:rPr>
        <w:t xml:space="preserve"> invited ‘Abdu’l-Bahá at a time when the latter was a prisoner of the Ottomans, and the official edict of Sultan Abdülaziz ordering the exile of Bahá’u’lláh and his followers and their strict confinement in ‘Akká was</w:t>
      </w:r>
    </w:p>
    <w:p w14:paraId="726D985C" w14:textId="77777777" w:rsidR="00581F47" w:rsidRPr="0043703E" w:rsidRDefault="00581F47" w:rsidP="0043703E">
      <w:pPr>
        <w:widowControl/>
        <w:kinsoku/>
        <w:overflowPunct/>
        <w:spacing w:line="264" w:lineRule="auto"/>
        <w:textAlignment w:val="auto"/>
        <w:rPr>
          <w:sz w:val="22"/>
          <w:szCs w:val="22"/>
        </w:rPr>
      </w:pPr>
      <w:r w:rsidRPr="0043703E">
        <w:rPr>
          <w:sz w:val="22"/>
          <w:szCs w:val="22"/>
        </w:rPr>
        <w:br w:type="page"/>
      </w:r>
    </w:p>
    <w:p w14:paraId="717AFF4C" w14:textId="77777777" w:rsidR="004165B2" w:rsidRPr="0043703E" w:rsidRDefault="004165B2" w:rsidP="0043703E">
      <w:pPr>
        <w:pStyle w:val="Textcts"/>
        <w:spacing w:line="264" w:lineRule="auto"/>
        <w:rPr>
          <w:sz w:val="22"/>
          <w:szCs w:val="22"/>
        </w:rPr>
      </w:pPr>
      <w:r w:rsidRPr="0043703E">
        <w:rPr>
          <w:sz w:val="22"/>
          <w:szCs w:val="22"/>
        </w:rPr>
        <w:lastRenderedPageBreak/>
        <w:t>still valid.</w:t>
      </w:r>
      <w:r w:rsidR="0072143B" w:rsidRPr="0043703E">
        <w:rPr>
          <w:rStyle w:val="FootnoteReference"/>
          <w:sz w:val="22"/>
          <w:szCs w:val="22"/>
        </w:rPr>
        <w:footnoteReference w:id="15"/>
      </w:r>
      <w:r w:rsidRPr="0043703E">
        <w:rPr>
          <w:sz w:val="22"/>
          <w:szCs w:val="22"/>
        </w:rPr>
        <w:t xml:space="preserve"> </w:t>
      </w:r>
      <w:r w:rsidR="0072143B" w:rsidRPr="0043703E">
        <w:rPr>
          <w:sz w:val="22"/>
          <w:szCs w:val="22"/>
        </w:rPr>
        <w:t xml:space="preserve"> </w:t>
      </w:r>
      <w:r w:rsidRPr="0043703E">
        <w:rPr>
          <w:sz w:val="22"/>
          <w:szCs w:val="22"/>
        </w:rPr>
        <w:t xml:space="preserve">In honour of ‘Abdu’l-Bahá’s visit to Beirut, Bahá’u’lláh revealed the </w:t>
      </w:r>
      <w:r w:rsidRPr="0043703E">
        <w:rPr>
          <w:i/>
          <w:sz w:val="22"/>
          <w:szCs w:val="22"/>
        </w:rPr>
        <w:t>Law</w:t>
      </w:r>
      <w:r w:rsidR="00E33C39" w:rsidRPr="0043703E">
        <w:rPr>
          <w:i/>
          <w:sz w:val="22"/>
          <w:szCs w:val="22"/>
        </w:rPr>
        <w:t>ḥ</w:t>
      </w:r>
      <w:r w:rsidRPr="0043703E">
        <w:rPr>
          <w:i/>
          <w:sz w:val="22"/>
          <w:szCs w:val="22"/>
        </w:rPr>
        <w:t>-i</w:t>
      </w:r>
      <w:r w:rsidR="00E33C39" w:rsidRPr="0043703E">
        <w:rPr>
          <w:i/>
          <w:sz w:val="22"/>
          <w:szCs w:val="22"/>
        </w:rPr>
        <w:t>-</w:t>
      </w:r>
      <w:r w:rsidRPr="0043703E">
        <w:rPr>
          <w:i/>
          <w:sz w:val="22"/>
          <w:szCs w:val="22"/>
        </w:rPr>
        <w:t>Ar</w:t>
      </w:r>
      <w:r w:rsidR="00E33C39" w:rsidRPr="0043703E">
        <w:rPr>
          <w:i/>
          <w:sz w:val="22"/>
          <w:szCs w:val="22"/>
        </w:rPr>
        <w:t>ḍ</w:t>
      </w:r>
      <w:r w:rsidRPr="0043703E">
        <w:rPr>
          <w:i/>
          <w:sz w:val="22"/>
          <w:szCs w:val="22"/>
        </w:rPr>
        <w:t>-i</w:t>
      </w:r>
      <w:r w:rsidR="00E33C39" w:rsidRPr="0043703E">
        <w:rPr>
          <w:i/>
          <w:sz w:val="22"/>
          <w:szCs w:val="22"/>
        </w:rPr>
        <w:t>-</w:t>
      </w:r>
      <w:r w:rsidRPr="0043703E">
        <w:rPr>
          <w:i/>
          <w:sz w:val="22"/>
          <w:szCs w:val="22"/>
        </w:rPr>
        <w:t>B</w:t>
      </w:r>
      <w:r w:rsidR="00E33C39" w:rsidRPr="0043703E">
        <w:rPr>
          <w:i/>
          <w:sz w:val="22"/>
          <w:szCs w:val="22"/>
        </w:rPr>
        <w:t>á</w:t>
      </w:r>
      <w:r w:rsidRPr="0043703E">
        <w:rPr>
          <w:sz w:val="22"/>
          <w:szCs w:val="22"/>
        </w:rPr>
        <w:t>, or the Tablet of the Land of B</w:t>
      </w:r>
      <w:r w:rsidR="00E33C39" w:rsidRPr="0043703E">
        <w:rPr>
          <w:sz w:val="22"/>
          <w:szCs w:val="22"/>
        </w:rPr>
        <w:t>á</w:t>
      </w:r>
      <w:r w:rsidRPr="0043703E">
        <w:rPr>
          <w:sz w:val="22"/>
          <w:szCs w:val="22"/>
        </w:rPr>
        <w:t xml:space="preserve"> (Beirut).</w:t>
      </w:r>
      <w:r w:rsidR="00E33C39" w:rsidRPr="0043703E">
        <w:rPr>
          <w:rStyle w:val="FootnoteReference"/>
          <w:sz w:val="22"/>
          <w:szCs w:val="22"/>
        </w:rPr>
        <w:footnoteReference w:id="16"/>
      </w:r>
      <w:r w:rsidR="00E33C39" w:rsidRPr="0043703E">
        <w:rPr>
          <w:sz w:val="22"/>
          <w:szCs w:val="22"/>
        </w:rPr>
        <w:t xml:space="preserve"> </w:t>
      </w:r>
      <w:r w:rsidRPr="0043703E">
        <w:rPr>
          <w:sz w:val="22"/>
          <w:szCs w:val="22"/>
        </w:rPr>
        <w:t xml:space="preserve"> Here, as in several other writings, Bahá’u’lláh extols the station of ‘Abdu’l-Bahá, whom he calls the ‘Most Mighty Branch of God’.  In the words of Shoghi Effendi, this tablet was ‘a communication which He dictated to His amanuensis’ as ‘a glowing tribute, glorifying Him as the One “round Whom all names revolve,” as “the </w:t>
      </w:r>
      <w:proofErr w:type="gramStart"/>
      <w:r w:rsidRPr="0043703E">
        <w:rPr>
          <w:sz w:val="22"/>
          <w:szCs w:val="22"/>
        </w:rPr>
        <w:t>Most Mighty</w:t>
      </w:r>
      <w:proofErr w:type="gramEnd"/>
      <w:r w:rsidRPr="0043703E">
        <w:rPr>
          <w:sz w:val="22"/>
          <w:szCs w:val="22"/>
        </w:rPr>
        <w:t xml:space="preserve"> Branch of God,” and as “His ancient and immutable Mystery.”</w:t>
      </w:r>
      <w:r w:rsidR="001225E0" w:rsidRPr="0043703E">
        <w:rPr>
          <w:sz w:val="22"/>
          <w:szCs w:val="22"/>
        </w:rPr>
        <w:t>’</w:t>
      </w:r>
      <w:r w:rsidR="001225E0" w:rsidRPr="0043703E">
        <w:rPr>
          <w:rStyle w:val="FootnoteReference"/>
          <w:sz w:val="22"/>
          <w:szCs w:val="22"/>
        </w:rPr>
        <w:footnoteReference w:id="17"/>
      </w:r>
      <w:r w:rsidRPr="0043703E">
        <w:rPr>
          <w:sz w:val="22"/>
          <w:szCs w:val="22"/>
        </w:rPr>
        <w:t xml:space="preserve"> </w:t>
      </w:r>
      <w:r w:rsidR="001225E0" w:rsidRPr="0043703E">
        <w:rPr>
          <w:sz w:val="22"/>
          <w:szCs w:val="22"/>
        </w:rPr>
        <w:t xml:space="preserve"> </w:t>
      </w:r>
      <w:r w:rsidRPr="0043703E">
        <w:rPr>
          <w:sz w:val="22"/>
          <w:szCs w:val="22"/>
        </w:rPr>
        <w:t>Shoghi Effendi provides the date for neither the visit nor this eulogy.  Speaking about the house of ‘</w:t>
      </w:r>
      <w:r w:rsidR="00B332DC" w:rsidRPr="0043703E">
        <w:rPr>
          <w:sz w:val="22"/>
          <w:szCs w:val="22"/>
        </w:rPr>
        <w:t>Ú</w:t>
      </w:r>
      <w:r w:rsidRPr="0043703E">
        <w:rPr>
          <w:sz w:val="22"/>
          <w:szCs w:val="22"/>
        </w:rPr>
        <w:t>d</w:t>
      </w:r>
      <w:r w:rsidR="00B332DC" w:rsidRPr="0043703E">
        <w:rPr>
          <w:sz w:val="22"/>
          <w:szCs w:val="22"/>
        </w:rPr>
        <w:t>í</w:t>
      </w:r>
      <w:r w:rsidRPr="0043703E">
        <w:rPr>
          <w:sz w:val="22"/>
          <w:szCs w:val="22"/>
        </w:rPr>
        <w:t xml:space="preserve"> </w:t>
      </w:r>
      <w:r w:rsidRPr="0043703E">
        <w:rPr>
          <w:sz w:val="22"/>
          <w:szCs w:val="22"/>
          <w:u w:val="single"/>
        </w:rPr>
        <w:t>Kh</w:t>
      </w:r>
      <w:r w:rsidRPr="0043703E">
        <w:rPr>
          <w:sz w:val="22"/>
          <w:szCs w:val="22"/>
        </w:rPr>
        <w:t>amm</w:t>
      </w:r>
      <w:r w:rsidR="00B332DC" w:rsidRPr="0043703E">
        <w:rPr>
          <w:sz w:val="22"/>
          <w:szCs w:val="22"/>
        </w:rPr>
        <w:t>á</w:t>
      </w:r>
      <w:r w:rsidRPr="0043703E">
        <w:rPr>
          <w:sz w:val="22"/>
          <w:szCs w:val="22"/>
        </w:rPr>
        <w:t xml:space="preserve">r, to which Bahá’u’lláh and his family had moved in 1873, he states that ‘Abdu’l-Bahá’s visit to Beirut, at the invitation of </w:t>
      </w:r>
      <w:r w:rsidR="00D91AE6" w:rsidRPr="0043703E">
        <w:rPr>
          <w:sz w:val="22"/>
          <w:szCs w:val="22"/>
        </w:rPr>
        <w:t>Mid</w:t>
      </w:r>
      <w:r w:rsidR="000A4EA2" w:rsidRPr="0043703E">
        <w:rPr>
          <w:sz w:val="22"/>
          <w:szCs w:val="22"/>
        </w:rPr>
        <w:t>ḥ</w:t>
      </w:r>
      <w:r w:rsidR="00D91AE6" w:rsidRPr="0043703E">
        <w:rPr>
          <w:sz w:val="22"/>
          <w:szCs w:val="22"/>
        </w:rPr>
        <w:t>at P</w:t>
      </w:r>
      <w:r w:rsidR="000A4EA2" w:rsidRPr="0043703E">
        <w:rPr>
          <w:sz w:val="22"/>
          <w:szCs w:val="22"/>
        </w:rPr>
        <w:t>á</w:t>
      </w:r>
      <w:r w:rsidR="00D91AE6" w:rsidRPr="0043703E">
        <w:rPr>
          <w:sz w:val="22"/>
          <w:szCs w:val="22"/>
          <w:u w:val="single"/>
        </w:rPr>
        <w:t>sh</w:t>
      </w:r>
      <w:r w:rsidR="000A4EA2" w:rsidRPr="0043703E">
        <w:rPr>
          <w:sz w:val="22"/>
          <w:szCs w:val="22"/>
        </w:rPr>
        <w:t>á</w:t>
      </w:r>
      <w:r w:rsidRPr="0043703E">
        <w:rPr>
          <w:sz w:val="22"/>
          <w:szCs w:val="22"/>
        </w:rPr>
        <w:t>, occurred about that time.</w:t>
      </w:r>
      <w:r w:rsidR="00B332DC" w:rsidRPr="0043703E">
        <w:rPr>
          <w:rStyle w:val="FootnoteReference"/>
          <w:sz w:val="22"/>
          <w:szCs w:val="22"/>
        </w:rPr>
        <w:footnoteReference w:id="18"/>
      </w:r>
      <w:r w:rsidRPr="0043703E">
        <w:rPr>
          <w:sz w:val="22"/>
          <w:szCs w:val="22"/>
        </w:rPr>
        <w:t xml:space="preserve"> </w:t>
      </w:r>
      <w:r w:rsidR="00B332DC" w:rsidRPr="0043703E">
        <w:rPr>
          <w:sz w:val="22"/>
          <w:szCs w:val="22"/>
        </w:rPr>
        <w:t xml:space="preserve"> </w:t>
      </w:r>
      <w:r w:rsidRPr="0043703E">
        <w:rPr>
          <w:sz w:val="22"/>
          <w:szCs w:val="22"/>
        </w:rPr>
        <w:t>However, the source of the material regarding ‘Abdu’l-Bahá’s visit to Beirut is not provided here, nor is it in subsequent references</w:t>
      </w:r>
      <w:r w:rsidR="009A4320" w:rsidRPr="0043703E">
        <w:rPr>
          <w:rStyle w:val="FootnoteReference"/>
          <w:sz w:val="22"/>
          <w:szCs w:val="22"/>
        </w:rPr>
        <w:footnoteReference w:id="19"/>
      </w:r>
      <w:r w:rsidRPr="0043703E">
        <w:rPr>
          <w:sz w:val="22"/>
          <w:szCs w:val="22"/>
        </w:rPr>
        <w:t xml:space="preserve"> nor does </w:t>
      </w:r>
      <w:r w:rsidR="00D91AE6" w:rsidRPr="0043703E">
        <w:rPr>
          <w:sz w:val="22"/>
          <w:szCs w:val="22"/>
        </w:rPr>
        <w:t>Midhat Pasha</w:t>
      </w:r>
      <w:r w:rsidRPr="0043703E">
        <w:rPr>
          <w:sz w:val="22"/>
          <w:szCs w:val="22"/>
        </w:rPr>
        <w:t xml:space="preserve"> mention this in his memoirs.</w:t>
      </w:r>
      <w:r w:rsidR="00B22D78" w:rsidRPr="0043703E">
        <w:rPr>
          <w:rStyle w:val="FootnoteReference"/>
          <w:sz w:val="22"/>
          <w:szCs w:val="22"/>
        </w:rPr>
        <w:footnoteReference w:id="20"/>
      </w:r>
    </w:p>
    <w:p w14:paraId="16A10CCF" w14:textId="77777777" w:rsidR="004165B2" w:rsidRPr="0043703E" w:rsidRDefault="004165B2" w:rsidP="0043703E">
      <w:pPr>
        <w:pStyle w:val="Text"/>
        <w:spacing w:line="264" w:lineRule="auto"/>
        <w:rPr>
          <w:sz w:val="22"/>
          <w:szCs w:val="22"/>
        </w:rPr>
      </w:pPr>
      <w:r w:rsidRPr="0043703E">
        <w:rPr>
          <w:sz w:val="22"/>
          <w:szCs w:val="22"/>
        </w:rPr>
        <w:t xml:space="preserve">The Bahá’í historian Hasan Balyuzi offers different dates for ‘Abdu’l-Bahá’s Beirut visit.  In his work </w:t>
      </w:r>
      <w:r w:rsidRPr="0043703E">
        <w:rPr>
          <w:i/>
          <w:sz w:val="22"/>
          <w:szCs w:val="22"/>
        </w:rPr>
        <w:t>‘Abdu’l-Bahá</w:t>
      </w:r>
      <w:r w:rsidRPr="0043703E">
        <w:rPr>
          <w:sz w:val="22"/>
          <w:szCs w:val="22"/>
        </w:rPr>
        <w:t>, he says that ‘Abdu’l-Bahá travelled to Beirut ‘by the express invitation of one of the most brilliant statesmen of the Ottoman Empire</w:t>
      </w:r>
      <w:r w:rsidR="000A4EA2" w:rsidRPr="0043703E">
        <w:rPr>
          <w:sz w:val="22"/>
          <w:szCs w:val="22"/>
        </w:rPr>
        <w:t>—Midḥat Pá</w:t>
      </w:r>
      <w:r w:rsidR="000A4EA2" w:rsidRPr="0043703E">
        <w:rPr>
          <w:sz w:val="22"/>
          <w:szCs w:val="22"/>
          <w:u w:val="single"/>
        </w:rPr>
        <w:t>sh</w:t>
      </w:r>
      <w:r w:rsidR="000A4EA2" w:rsidRPr="0043703E">
        <w:rPr>
          <w:sz w:val="22"/>
          <w:szCs w:val="22"/>
        </w:rPr>
        <w:t>á</w:t>
      </w:r>
      <w:r w:rsidRPr="0043703E">
        <w:rPr>
          <w:sz w:val="22"/>
          <w:szCs w:val="22"/>
        </w:rPr>
        <w:t>, the liberal reformer, who as grand vizier was instrumental in inducing the Sul</w:t>
      </w:r>
      <w:r w:rsidR="000A4EA2" w:rsidRPr="0043703E">
        <w:rPr>
          <w:sz w:val="22"/>
          <w:szCs w:val="22"/>
        </w:rPr>
        <w:t>ṭá</w:t>
      </w:r>
      <w:r w:rsidRPr="0043703E">
        <w:rPr>
          <w:sz w:val="22"/>
          <w:szCs w:val="22"/>
        </w:rPr>
        <w:t>n to grant a constitution to his people’.</w:t>
      </w:r>
      <w:r w:rsidR="000A4EA2" w:rsidRPr="0043703E">
        <w:rPr>
          <w:rStyle w:val="FootnoteReference"/>
          <w:sz w:val="22"/>
          <w:szCs w:val="22"/>
        </w:rPr>
        <w:footnoteReference w:id="21"/>
      </w:r>
      <w:r w:rsidRPr="0043703E">
        <w:rPr>
          <w:sz w:val="22"/>
          <w:szCs w:val="22"/>
        </w:rPr>
        <w:t xml:space="preserve"> </w:t>
      </w:r>
      <w:r w:rsidR="000A4EA2" w:rsidRPr="0043703E">
        <w:rPr>
          <w:sz w:val="22"/>
          <w:szCs w:val="22"/>
        </w:rPr>
        <w:t xml:space="preserve"> </w:t>
      </w:r>
      <w:r w:rsidRPr="0043703E">
        <w:rPr>
          <w:sz w:val="22"/>
          <w:szCs w:val="22"/>
        </w:rPr>
        <w:t>He adds that this ‘must have taken place sometime in 1878, and on this occasion Bahá’u’lláh revealed a Tablet [</w:t>
      </w:r>
      <w:r w:rsidRPr="0043703E">
        <w:rPr>
          <w:i/>
          <w:sz w:val="22"/>
          <w:szCs w:val="22"/>
        </w:rPr>
        <w:t>Law</w:t>
      </w:r>
      <w:r w:rsidR="00DA7535" w:rsidRPr="0043703E">
        <w:rPr>
          <w:i/>
          <w:sz w:val="22"/>
          <w:szCs w:val="22"/>
        </w:rPr>
        <w:t>ḥ</w:t>
      </w:r>
      <w:r w:rsidRPr="0043703E">
        <w:rPr>
          <w:i/>
          <w:sz w:val="22"/>
          <w:szCs w:val="22"/>
        </w:rPr>
        <w:t>-i</w:t>
      </w:r>
      <w:r w:rsidR="00DA7535" w:rsidRPr="0043703E">
        <w:rPr>
          <w:i/>
          <w:sz w:val="22"/>
          <w:szCs w:val="22"/>
        </w:rPr>
        <w:t>-</w:t>
      </w:r>
      <w:r w:rsidRPr="0043703E">
        <w:rPr>
          <w:i/>
          <w:sz w:val="22"/>
          <w:szCs w:val="22"/>
        </w:rPr>
        <w:t>Ar</w:t>
      </w:r>
      <w:r w:rsidR="00DA7535" w:rsidRPr="0043703E">
        <w:rPr>
          <w:i/>
          <w:sz w:val="22"/>
          <w:szCs w:val="22"/>
        </w:rPr>
        <w:t>ḍ</w:t>
      </w:r>
      <w:r w:rsidRPr="0043703E">
        <w:rPr>
          <w:i/>
          <w:sz w:val="22"/>
          <w:szCs w:val="22"/>
        </w:rPr>
        <w:t>-i</w:t>
      </w:r>
      <w:r w:rsidR="00DA7535" w:rsidRPr="0043703E">
        <w:rPr>
          <w:i/>
          <w:sz w:val="22"/>
          <w:szCs w:val="22"/>
        </w:rPr>
        <w:t>-</w:t>
      </w:r>
      <w:r w:rsidRPr="0043703E">
        <w:rPr>
          <w:i/>
          <w:sz w:val="22"/>
          <w:szCs w:val="22"/>
        </w:rPr>
        <w:t>B</w:t>
      </w:r>
      <w:r w:rsidR="00DA7535" w:rsidRPr="0043703E">
        <w:rPr>
          <w:i/>
          <w:sz w:val="22"/>
          <w:szCs w:val="22"/>
        </w:rPr>
        <w:t>á</w:t>
      </w:r>
      <w:r w:rsidRPr="0043703E">
        <w:rPr>
          <w:sz w:val="22"/>
          <w:szCs w:val="22"/>
        </w:rPr>
        <w:t>] to commemorate and mark its significance’.</w:t>
      </w:r>
      <w:r w:rsidR="00DA7535" w:rsidRPr="0043703E">
        <w:rPr>
          <w:rStyle w:val="FootnoteReference"/>
          <w:sz w:val="22"/>
          <w:szCs w:val="22"/>
        </w:rPr>
        <w:footnoteReference w:id="22"/>
      </w:r>
      <w:r w:rsidRPr="0043703E">
        <w:rPr>
          <w:sz w:val="22"/>
          <w:szCs w:val="22"/>
        </w:rPr>
        <w:t xml:space="preserve"> </w:t>
      </w:r>
      <w:r w:rsidR="00DA7535" w:rsidRPr="0043703E">
        <w:rPr>
          <w:sz w:val="22"/>
          <w:szCs w:val="22"/>
        </w:rPr>
        <w:t xml:space="preserve"> </w:t>
      </w:r>
      <w:r w:rsidRPr="0043703E">
        <w:rPr>
          <w:sz w:val="22"/>
          <w:szCs w:val="22"/>
        </w:rPr>
        <w:t xml:space="preserve">However, given the fact that </w:t>
      </w:r>
      <w:r w:rsidR="00D91AE6" w:rsidRPr="0043703E">
        <w:rPr>
          <w:sz w:val="22"/>
          <w:szCs w:val="22"/>
        </w:rPr>
        <w:t>Midhat Pasha</w:t>
      </w:r>
      <w:r w:rsidRPr="0043703E">
        <w:rPr>
          <w:sz w:val="22"/>
          <w:szCs w:val="22"/>
        </w:rPr>
        <w:t xml:space="preserve"> arrived in Syria as the </w:t>
      </w:r>
      <w:r w:rsidRPr="0043703E">
        <w:rPr>
          <w:i/>
          <w:sz w:val="22"/>
          <w:szCs w:val="22"/>
        </w:rPr>
        <w:t>vâli</w:t>
      </w:r>
      <w:r w:rsidRPr="0043703E">
        <w:rPr>
          <w:sz w:val="22"/>
          <w:szCs w:val="22"/>
        </w:rPr>
        <w:t xml:space="preserve"> at the end of November 1878, it is not likely that ‘Abdu’l-Bahá visited him right at the beginning of his governorship and ‘sometime in 1878’ could apply only to December that year.</w:t>
      </w:r>
    </w:p>
    <w:p w14:paraId="3B182C3C" w14:textId="4FCF64F8" w:rsidR="006A3E81" w:rsidRPr="0043703E" w:rsidRDefault="004165B2" w:rsidP="009F696C">
      <w:pPr>
        <w:pStyle w:val="Text"/>
        <w:spacing w:line="264" w:lineRule="auto"/>
        <w:rPr>
          <w:sz w:val="22"/>
          <w:szCs w:val="22"/>
        </w:rPr>
      </w:pPr>
      <w:r w:rsidRPr="0043703E">
        <w:rPr>
          <w:sz w:val="22"/>
          <w:szCs w:val="22"/>
        </w:rPr>
        <w:t xml:space="preserve">Balyuzi then says, in the first edition of his book </w:t>
      </w:r>
      <w:r w:rsidRPr="0043703E">
        <w:rPr>
          <w:i/>
          <w:sz w:val="22"/>
          <w:szCs w:val="22"/>
        </w:rPr>
        <w:t>Bahá’u’lláh:  The King of Glory</w:t>
      </w:r>
      <w:r w:rsidRPr="0043703E">
        <w:rPr>
          <w:sz w:val="22"/>
          <w:szCs w:val="22"/>
        </w:rPr>
        <w:t xml:space="preserve"> (1980), ‘Sometime in 1879, ‘Abdu’l-Bahá travelled to Beirut’</w:t>
      </w:r>
      <w:r w:rsidR="006A3E81" w:rsidRPr="0043703E">
        <w:rPr>
          <w:sz w:val="22"/>
          <w:szCs w:val="22"/>
        </w:rPr>
        <w:t>,</w:t>
      </w:r>
      <w:r w:rsidR="0005148F" w:rsidRPr="0043703E">
        <w:rPr>
          <w:rStyle w:val="FootnoteReference"/>
          <w:sz w:val="22"/>
          <w:szCs w:val="22"/>
        </w:rPr>
        <w:footnoteReference w:id="23"/>
      </w:r>
      <w:r w:rsidRPr="0043703E">
        <w:rPr>
          <w:sz w:val="22"/>
          <w:szCs w:val="22"/>
        </w:rPr>
        <w:t xml:space="preserve"> but in the revised edition of this book (1991) the date of the visit has been changed to ‘In June 1880’.</w:t>
      </w:r>
      <w:r w:rsidR="006A3E81" w:rsidRPr="0043703E">
        <w:rPr>
          <w:rStyle w:val="FootnoteReference"/>
          <w:sz w:val="22"/>
          <w:szCs w:val="22"/>
        </w:rPr>
        <w:footnoteReference w:id="24"/>
      </w:r>
      <w:r w:rsidRPr="0043703E">
        <w:rPr>
          <w:sz w:val="22"/>
          <w:szCs w:val="22"/>
        </w:rPr>
        <w:t xml:space="preserve"> </w:t>
      </w:r>
      <w:r w:rsidR="006A3E81" w:rsidRPr="0043703E">
        <w:rPr>
          <w:sz w:val="22"/>
          <w:szCs w:val="22"/>
        </w:rPr>
        <w:t xml:space="preserve"> </w:t>
      </w:r>
      <w:r w:rsidRPr="0043703E">
        <w:rPr>
          <w:sz w:val="22"/>
          <w:szCs w:val="22"/>
        </w:rPr>
        <w:t>The question arose as to why this change was made without an explanation.  At this point our attention turned to possible records outside Bahá’í sources.  Newspapers generally mention arrivals and departures of notables anywhere, as did newspapers in the Middle East.  It seemed plausible that ‘Abdu’l-Bahá’s visit to Beirut was announced by a newspaper, since he was well known and respected</w:t>
      </w:r>
      <w:r w:rsidR="006A3E81" w:rsidRPr="0043703E">
        <w:rPr>
          <w:sz w:val="22"/>
          <w:szCs w:val="22"/>
        </w:rPr>
        <w:br w:type="page"/>
      </w:r>
    </w:p>
    <w:p w14:paraId="2965C374" w14:textId="77777777" w:rsidR="004165B2" w:rsidRPr="0043703E" w:rsidRDefault="004165B2" w:rsidP="0043703E">
      <w:pPr>
        <w:pStyle w:val="Textcts"/>
        <w:spacing w:line="264" w:lineRule="auto"/>
        <w:rPr>
          <w:sz w:val="22"/>
          <w:szCs w:val="22"/>
        </w:rPr>
      </w:pPr>
      <w:r w:rsidRPr="0043703E">
        <w:rPr>
          <w:sz w:val="22"/>
          <w:szCs w:val="22"/>
        </w:rPr>
        <w:lastRenderedPageBreak/>
        <w:t xml:space="preserve">not only in the Ottoman Empire.  In fact, the Arabic Beirut-based weekly </w:t>
      </w:r>
      <w:r w:rsidRPr="0043703E">
        <w:rPr>
          <w:i/>
          <w:sz w:val="22"/>
          <w:szCs w:val="22"/>
          <w:u w:val="single"/>
        </w:rPr>
        <w:t>Th</w:t>
      </w:r>
      <w:r w:rsidRPr="0043703E">
        <w:rPr>
          <w:i/>
          <w:sz w:val="22"/>
          <w:szCs w:val="22"/>
        </w:rPr>
        <w:t>amar</w:t>
      </w:r>
      <w:r w:rsidR="006A3E81" w:rsidRPr="0043703E">
        <w:rPr>
          <w:i/>
          <w:sz w:val="22"/>
          <w:szCs w:val="22"/>
        </w:rPr>
        <w:t>á</w:t>
      </w:r>
      <w:r w:rsidRPr="0043703E">
        <w:rPr>
          <w:i/>
          <w:sz w:val="22"/>
          <w:szCs w:val="22"/>
        </w:rPr>
        <w:t>t al-Fun</w:t>
      </w:r>
      <w:r w:rsidR="006A3E81" w:rsidRPr="0043703E">
        <w:rPr>
          <w:i/>
          <w:sz w:val="22"/>
          <w:szCs w:val="22"/>
        </w:rPr>
        <w:t>ú</w:t>
      </w:r>
      <w:r w:rsidRPr="0043703E">
        <w:rPr>
          <w:i/>
          <w:sz w:val="22"/>
          <w:szCs w:val="22"/>
        </w:rPr>
        <w:t>n</w:t>
      </w:r>
      <w:r w:rsidRPr="0043703E">
        <w:rPr>
          <w:sz w:val="22"/>
          <w:szCs w:val="22"/>
        </w:rPr>
        <w:t xml:space="preserve"> announced ‘Abdu’l-Bahá’s arrival on 8 June 1880 with these words</w:t>
      </w:r>
      <w:proofErr w:type="gramStart"/>
      <w:r w:rsidRPr="0043703E">
        <w:rPr>
          <w:sz w:val="22"/>
          <w:szCs w:val="22"/>
        </w:rPr>
        <w:t>:  ‘</w:t>
      </w:r>
      <w:proofErr w:type="gramEnd"/>
      <w:r w:rsidRPr="0043703E">
        <w:rPr>
          <w:sz w:val="22"/>
          <w:szCs w:val="22"/>
        </w:rPr>
        <w:t>His Excellency, the learned, erudite, intelligent and illustrious ‘Abbas Effendi, resident of the city of ‘Akká, has arrived in our city.  The purpose of his arrival is change of air, may God prolong his well-being.’</w:t>
      </w:r>
      <w:r w:rsidR="008E6A86" w:rsidRPr="0043703E">
        <w:rPr>
          <w:rStyle w:val="FootnoteReference"/>
          <w:sz w:val="22"/>
          <w:szCs w:val="22"/>
        </w:rPr>
        <w:footnoteReference w:id="25"/>
      </w:r>
      <w:r w:rsidRPr="0043703E">
        <w:rPr>
          <w:sz w:val="22"/>
          <w:szCs w:val="22"/>
        </w:rPr>
        <w:t xml:space="preserve"> </w:t>
      </w:r>
      <w:r w:rsidR="006A3E81" w:rsidRPr="0043703E">
        <w:rPr>
          <w:sz w:val="22"/>
          <w:szCs w:val="22"/>
        </w:rPr>
        <w:t xml:space="preserve"> </w:t>
      </w:r>
      <w:r w:rsidRPr="0043703E">
        <w:rPr>
          <w:sz w:val="22"/>
          <w:szCs w:val="22"/>
        </w:rPr>
        <w:t xml:space="preserve">In line with this, ‘Abdu’l-Bahá must have arrived in Beirut around that date.  Yet no reference </w:t>
      </w:r>
      <w:proofErr w:type="gramStart"/>
      <w:r w:rsidRPr="0043703E">
        <w:rPr>
          <w:sz w:val="22"/>
          <w:szCs w:val="22"/>
        </w:rPr>
        <w:t>with regard to</w:t>
      </w:r>
      <w:proofErr w:type="gramEnd"/>
      <w:r w:rsidRPr="0043703E">
        <w:rPr>
          <w:sz w:val="22"/>
          <w:szCs w:val="22"/>
        </w:rPr>
        <w:t xml:space="preserve"> ‘Abdu’l-Bahá’s departure could be found.</w:t>
      </w:r>
      <w:r w:rsidR="008E6A86" w:rsidRPr="0043703E">
        <w:rPr>
          <w:rStyle w:val="FootnoteReference"/>
          <w:sz w:val="22"/>
          <w:szCs w:val="22"/>
        </w:rPr>
        <w:footnoteReference w:id="26"/>
      </w:r>
    </w:p>
    <w:p w14:paraId="400801D2" w14:textId="77777777" w:rsidR="004165B2" w:rsidRPr="0043703E" w:rsidRDefault="004165B2" w:rsidP="0043703E">
      <w:pPr>
        <w:pStyle w:val="Text"/>
        <w:spacing w:line="264" w:lineRule="auto"/>
        <w:rPr>
          <w:sz w:val="22"/>
          <w:szCs w:val="22"/>
        </w:rPr>
      </w:pPr>
      <w:r w:rsidRPr="0043703E">
        <w:rPr>
          <w:sz w:val="22"/>
          <w:szCs w:val="22"/>
        </w:rPr>
        <w:t>The ‘mystery’ of the Beirut visit was solved after elucidation by the publisher of Balyuzi’s book and the Bahá’í World Centre.  According to the publisher, a letter of ‘Abdu’l-Bahá was found in the Bahá’í World Centre Archives in Haifa, dated a week after his return from Beirut, in which he states that he was in Beirut between 1 and 17 June 1880.  The publisher also states that Bahá’u’lláh’s Tablet of the Land of B</w:t>
      </w:r>
      <w:r w:rsidR="008F7FA4" w:rsidRPr="0043703E">
        <w:rPr>
          <w:sz w:val="22"/>
          <w:szCs w:val="22"/>
        </w:rPr>
        <w:t>á</w:t>
      </w:r>
      <w:r w:rsidRPr="0043703E">
        <w:rPr>
          <w:sz w:val="22"/>
          <w:szCs w:val="22"/>
        </w:rPr>
        <w:t xml:space="preserve"> was written on 9 June 1880, a week or so after his departure.  This was all recorded in a list and this is why ‘In June of 1880’ replaced ‘Sometime in 1879’ in the revised 1991 edition of the book.</w:t>
      </w:r>
      <w:r w:rsidR="008F7FA4" w:rsidRPr="0043703E">
        <w:rPr>
          <w:rStyle w:val="FootnoteReference"/>
          <w:sz w:val="22"/>
          <w:szCs w:val="22"/>
        </w:rPr>
        <w:footnoteReference w:id="27"/>
      </w:r>
      <w:r w:rsidRPr="0043703E">
        <w:rPr>
          <w:sz w:val="22"/>
          <w:szCs w:val="22"/>
        </w:rPr>
        <w:t xml:space="preserve"> </w:t>
      </w:r>
      <w:r w:rsidR="008F7FA4" w:rsidRPr="0043703E">
        <w:rPr>
          <w:sz w:val="22"/>
          <w:szCs w:val="22"/>
        </w:rPr>
        <w:t xml:space="preserve"> </w:t>
      </w:r>
      <w:r w:rsidRPr="0043703E">
        <w:rPr>
          <w:sz w:val="22"/>
          <w:szCs w:val="22"/>
        </w:rPr>
        <w:t>However, in a memorandum of the Research Department of the Universal House of Justice concerning this matter, which was forwarded to the present author, it is stated that in ‘the Tablet of ‘Abdu’l-Bahá in question’ which ‘is dated 10 Rajab 1297 (19 June 1880)’,</w:t>
      </w:r>
      <w:r w:rsidR="0019486F" w:rsidRPr="0043703E">
        <w:rPr>
          <w:rStyle w:val="FootnoteReference"/>
          <w:sz w:val="22"/>
          <w:szCs w:val="22"/>
        </w:rPr>
        <w:footnoteReference w:id="28"/>
      </w:r>
      <w:r w:rsidRPr="0043703E">
        <w:rPr>
          <w:sz w:val="22"/>
          <w:szCs w:val="22"/>
        </w:rPr>
        <w:t xml:space="preserve"> he ‘alludes to His visit to Beirut, but He does not provide specific dates’.  A provisional translation of the relevant passage is presented as follows:</w:t>
      </w:r>
    </w:p>
    <w:p w14:paraId="0E3AB679" w14:textId="77777777" w:rsidR="004165B2" w:rsidRPr="0043703E" w:rsidRDefault="004165B2" w:rsidP="0043703E">
      <w:pPr>
        <w:pStyle w:val="Quote"/>
        <w:spacing w:line="264" w:lineRule="auto"/>
        <w:rPr>
          <w:sz w:val="22"/>
          <w:szCs w:val="22"/>
        </w:rPr>
      </w:pPr>
      <w:r w:rsidRPr="0043703E">
        <w:rPr>
          <w:sz w:val="22"/>
          <w:szCs w:val="22"/>
        </w:rPr>
        <w:t>… and this servant has, as a thing divinely ordained, been unwell for some time past, until I went to Beirut for a change of air.  I have recently come back from there and at present I am staying at the village of Yark</w:t>
      </w:r>
      <w:r w:rsidR="00EB67D4" w:rsidRPr="0043703E">
        <w:rPr>
          <w:sz w:val="22"/>
          <w:szCs w:val="22"/>
        </w:rPr>
        <w:t>á</w:t>
      </w:r>
      <w:r w:rsidRPr="0043703E">
        <w:rPr>
          <w:sz w:val="22"/>
          <w:szCs w:val="22"/>
        </w:rPr>
        <w:t xml:space="preserve"> which lies on a hill some 18 kilometres from ‘Akká, and I intend to remain here for a while.</w:t>
      </w:r>
    </w:p>
    <w:p w14:paraId="7D7709FC" w14:textId="77777777" w:rsidR="004165B2" w:rsidRPr="0043703E" w:rsidRDefault="004165B2" w:rsidP="0043703E">
      <w:pPr>
        <w:pStyle w:val="Quote"/>
        <w:spacing w:line="264" w:lineRule="auto"/>
        <w:rPr>
          <w:sz w:val="22"/>
          <w:szCs w:val="22"/>
        </w:rPr>
      </w:pPr>
      <w:r w:rsidRPr="0043703E">
        <w:rPr>
          <w:sz w:val="22"/>
          <w:szCs w:val="22"/>
        </w:rPr>
        <w:t xml:space="preserve">Praise be to God, the Lord of mankind, that the illness is now remedied, though a state of infirmity </w:t>
      </w:r>
      <w:proofErr w:type="gramStart"/>
      <w:r w:rsidRPr="0043703E">
        <w:rPr>
          <w:sz w:val="22"/>
          <w:szCs w:val="22"/>
        </w:rPr>
        <w:t>still persists</w:t>
      </w:r>
      <w:proofErr w:type="gramEnd"/>
      <w:r w:rsidRPr="0043703E">
        <w:rPr>
          <w:sz w:val="22"/>
          <w:szCs w:val="22"/>
        </w:rPr>
        <w:t>.  Moreover, I am overshadowed by the bounties of God from every side.</w:t>
      </w:r>
      <w:r w:rsidR="00EB67D4" w:rsidRPr="0043703E">
        <w:rPr>
          <w:rStyle w:val="FootnoteReference"/>
          <w:sz w:val="22"/>
          <w:szCs w:val="22"/>
        </w:rPr>
        <w:footnoteReference w:id="29"/>
      </w:r>
    </w:p>
    <w:p w14:paraId="5AC6F411" w14:textId="77777777" w:rsidR="004165B2" w:rsidRPr="0043703E" w:rsidRDefault="004165B2" w:rsidP="0043703E">
      <w:pPr>
        <w:pStyle w:val="Text"/>
        <w:spacing w:line="264" w:lineRule="auto"/>
        <w:rPr>
          <w:sz w:val="22"/>
          <w:szCs w:val="22"/>
        </w:rPr>
      </w:pPr>
      <w:r w:rsidRPr="0043703E">
        <w:rPr>
          <w:sz w:val="22"/>
          <w:szCs w:val="22"/>
        </w:rPr>
        <w:t>Moreover, it is pointed out in the memorandum that ‘in a copy of this Tablet in the handwriting of M</w:t>
      </w:r>
      <w:r w:rsidR="00373E6C" w:rsidRPr="0043703E">
        <w:rPr>
          <w:sz w:val="22"/>
          <w:szCs w:val="22"/>
        </w:rPr>
        <w:t>í</w:t>
      </w:r>
      <w:r w:rsidRPr="0043703E">
        <w:rPr>
          <w:sz w:val="22"/>
          <w:szCs w:val="22"/>
        </w:rPr>
        <w:t>rz</w:t>
      </w:r>
      <w:r w:rsidR="00373E6C" w:rsidRPr="0043703E">
        <w:rPr>
          <w:sz w:val="22"/>
          <w:szCs w:val="22"/>
        </w:rPr>
        <w:t>á</w:t>
      </w:r>
      <w:r w:rsidRPr="0043703E">
        <w:rPr>
          <w:sz w:val="22"/>
          <w:szCs w:val="22"/>
        </w:rPr>
        <w:t xml:space="preserve"> </w:t>
      </w:r>
      <w:r w:rsidR="00373E6C" w:rsidRPr="0043703E">
        <w:rPr>
          <w:sz w:val="22"/>
          <w:szCs w:val="22"/>
        </w:rPr>
        <w:t>Á</w:t>
      </w:r>
      <w:r w:rsidRPr="0043703E">
        <w:rPr>
          <w:sz w:val="22"/>
          <w:szCs w:val="22"/>
        </w:rPr>
        <w:t>q</w:t>
      </w:r>
      <w:r w:rsidR="00373E6C" w:rsidRPr="0043703E">
        <w:rPr>
          <w:sz w:val="22"/>
          <w:szCs w:val="22"/>
        </w:rPr>
        <w:t>á</w:t>
      </w:r>
      <w:r w:rsidRPr="0043703E">
        <w:rPr>
          <w:sz w:val="22"/>
          <w:szCs w:val="22"/>
        </w:rPr>
        <w:t xml:space="preserve"> J</w:t>
      </w:r>
      <w:r w:rsidR="00373E6C" w:rsidRPr="0043703E">
        <w:rPr>
          <w:sz w:val="22"/>
          <w:szCs w:val="22"/>
        </w:rPr>
        <w:t>á</w:t>
      </w:r>
      <w:r w:rsidRPr="0043703E">
        <w:rPr>
          <w:sz w:val="22"/>
          <w:szCs w:val="22"/>
        </w:rPr>
        <w:t>n, held in the World Centre archives, the date 1 Rajab 1297 appears, corresponding to 9 June 1880 in the Gregorian calendar’.</w:t>
      </w:r>
      <w:r w:rsidR="002726DC" w:rsidRPr="0043703E">
        <w:rPr>
          <w:rStyle w:val="FootnoteReference"/>
          <w:sz w:val="22"/>
          <w:szCs w:val="22"/>
        </w:rPr>
        <w:footnoteReference w:id="30"/>
      </w:r>
    </w:p>
    <w:p w14:paraId="1D8E2331" w14:textId="77777777" w:rsidR="004165B2" w:rsidRPr="0043703E" w:rsidRDefault="004165B2" w:rsidP="0043703E">
      <w:pPr>
        <w:pStyle w:val="Text"/>
        <w:spacing w:line="264" w:lineRule="auto"/>
        <w:rPr>
          <w:sz w:val="22"/>
          <w:szCs w:val="22"/>
        </w:rPr>
      </w:pPr>
      <w:r w:rsidRPr="0043703E">
        <w:rPr>
          <w:sz w:val="22"/>
          <w:szCs w:val="22"/>
        </w:rPr>
        <w:t xml:space="preserve">Having fixed the approximate date of the visit and the actual day of the revelation of Bahá’u’lláh’s </w:t>
      </w:r>
      <w:r w:rsidRPr="0043703E">
        <w:rPr>
          <w:i/>
          <w:sz w:val="22"/>
          <w:szCs w:val="22"/>
        </w:rPr>
        <w:t>Law</w:t>
      </w:r>
      <w:r w:rsidR="00373E6C" w:rsidRPr="0043703E">
        <w:rPr>
          <w:i/>
          <w:sz w:val="22"/>
          <w:szCs w:val="22"/>
        </w:rPr>
        <w:t>ḥ</w:t>
      </w:r>
      <w:r w:rsidRPr="0043703E">
        <w:rPr>
          <w:i/>
          <w:sz w:val="22"/>
          <w:szCs w:val="22"/>
        </w:rPr>
        <w:t>-i</w:t>
      </w:r>
      <w:r w:rsidR="00CF40AC" w:rsidRPr="0043703E">
        <w:rPr>
          <w:i/>
          <w:sz w:val="22"/>
          <w:szCs w:val="22"/>
        </w:rPr>
        <w:t>-</w:t>
      </w:r>
      <w:r w:rsidRPr="0043703E">
        <w:rPr>
          <w:i/>
          <w:sz w:val="22"/>
          <w:szCs w:val="22"/>
        </w:rPr>
        <w:t>Ar</w:t>
      </w:r>
      <w:r w:rsidR="00373E6C" w:rsidRPr="0043703E">
        <w:rPr>
          <w:i/>
          <w:sz w:val="22"/>
          <w:szCs w:val="22"/>
        </w:rPr>
        <w:t>ḍ</w:t>
      </w:r>
      <w:r w:rsidRPr="0043703E">
        <w:rPr>
          <w:i/>
          <w:sz w:val="22"/>
          <w:szCs w:val="22"/>
        </w:rPr>
        <w:t>-i</w:t>
      </w:r>
      <w:r w:rsidR="00CF40AC" w:rsidRPr="0043703E">
        <w:rPr>
          <w:i/>
          <w:sz w:val="22"/>
          <w:szCs w:val="22"/>
        </w:rPr>
        <w:t>-</w:t>
      </w:r>
      <w:r w:rsidRPr="0043703E">
        <w:rPr>
          <w:i/>
          <w:sz w:val="22"/>
          <w:szCs w:val="22"/>
        </w:rPr>
        <w:t>B</w:t>
      </w:r>
      <w:r w:rsidR="00373E6C" w:rsidRPr="0043703E">
        <w:rPr>
          <w:i/>
          <w:sz w:val="22"/>
          <w:szCs w:val="22"/>
        </w:rPr>
        <w:t>á</w:t>
      </w:r>
      <w:r w:rsidRPr="0043703E">
        <w:rPr>
          <w:sz w:val="22"/>
          <w:szCs w:val="22"/>
        </w:rPr>
        <w:t xml:space="preserve">, we may well ask about the circumstances, since Hasan Balyuzi states that ‘Abdu’l-Bahá went to Beirut by the ‘express invitation’ of </w:t>
      </w:r>
      <w:r w:rsidR="00D91AE6" w:rsidRPr="0043703E">
        <w:rPr>
          <w:sz w:val="22"/>
          <w:szCs w:val="22"/>
        </w:rPr>
        <w:t>Midhat Pasha</w:t>
      </w:r>
      <w:r w:rsidRPr="0043703E">
        <w:rPr>
          <w:sz w:val="22"/>
          <w:szCs w:val="22"/>
        </w:rPr>
        <w:t>.</w:t>
      </w:r>
    </w:p>
    <w:p w14:paraId="70E8E1AB" w14:textId="77777777" w:rsidR="004165B2" w:rsidRPr="0043703E" w:rsidRDefault="006A3E81" w:rsidP="0043703E">
      <w:pPr>
        <w:pStyle w:val="Myhead"/>
        <w:spacing w:line="264" w:lineRule="auto"/>
        <w:rPr>
          <w:sz w:val="22"/>
          <w:szCs w:val="22"/>
        </w:rPr>
      </w:pPr>
      <w:r w:rsidRPr="0043703E">
        <w:rPr>
          <w:sz w:val="22"/>
          <w:szCs w:val="22"/>
        </w:rPr>
        <w:br w:type="page"/>
      </w:r>
      <w:r w:rsidR="004165B2" w:rsidRPr="0043703E">
        <w:rPr>
          <w:sz w:val="22"/>
          <w:szCs w:val="22"/>
        </w:rPr>
        <w:lastRenderedPageBreak/>
        <w:t>M</w:t>
      </w:r>
      <w:r w:rsidR="000815A4" w:rsidRPr="0043703E">
        <w:rPr>
          <w:sz w:val="22"/>
          <w:szCs w:val="22"/>
        </w:rPr>
        <w:t>í</w:t>
      </w:r>
      <w:r w:rsidR="004165B2" w:rsidRPr="0043703E">
        <w:rPr>
          <w:sz w:val="22"/>
          <w:szCs w:val="22"/>
        </w:rPr>
        <w:t>rz</w:t>
      </w:r>
      <w:r w:rsidR="000815A4" w:rsidRPr="0043703E">
        <w:rPr>
          <w:sz w:val="22"/>
          <w:szCs w:val="22"/>
        </w:rPr>
        <w:t>á</w:t>
      </w:r>
      <w:r w:rsidR="004165B2" w:rsidRPr="0043703E">
        <w:rPr>
          <w:sz w:val="22"/>
          <w:szCs w:val="22"/>
        </w:rPr>
        <w:t xml:space="preserve"> </w:t>
      </w:r>
      <w:r w:rsidR="000815A4" w:rsidRPr="0043703E">
        <w:rPr>
          <w:sz w:val="22"/>
          <w:szCs w:val="22"/>
        </w:rPr>
        <w:t>Ḥaydar</w:t>
      </w:r>
      <w:r w:rsidR="004165B2" w:rsidRPr="0043703E">
        <w:rPr>
          <w:sz w:val="22"/>
          <w:szCs w:val="22"/>
        </w:rPr>
        <w:t xml:space="preserve"> ‘Al</w:t>
      </w:r>
      <w:r w:rsidR="000815A4" w:rsidRPr="0043703E">
        <w:rPr>
          <w:sz w:val="22"/>
          <w:szCs w:val="22"/>
        </w:rPr>
        <w:t>í</w:t>
      </w:r>
      <w:r w:rsidR="004165B2" w:rsidRPr="0043703E">
        <w:rPr>
          <w:sz w:val="22"/>
          <w:szCs w:val="22"/>
        </w:rPr>
        <w:t xml:space="preserve"> on </w:t>
      </w:r>
      <w:r w:rsidR="00D91AE6" w:rsidRPr="0043703E">
        <w:rPr>
          <w:sz w:val="22"/>
          <w:szCs w:val="22"/>
        </w:rPr>
        <w:t>Midhat Pasha</w:t>
      </w:r>
      <w:r w:rsidR="004165B2" w:rsidRPr="0043703E">
        <w:rPr>
          <w:sz w:val="22"/>
          <w:szCs w:val="22"/>
        </w:rPr>
        <w:t>’s encounter with ‘Abdu’l-Bahá in ‘Akká</w:t>
      </w:r>
    </w:p>
    <w:p w14:paraId="31265947" w14:textId="77777777" w:rsidR="004165B2" w:rsidRPr="0043703E" w:rsidRDefault="004165B2" w:rsidP="0043703E">
      <w:pPr>
        <w:pStyle w:val="Text"/>
        <w:spacing w:line="264" w:lineRule="auto"/>
        <w:rPr>
          <w:sz w:val="22"/>
          <w:szCs w:val="22"/>
        </w:rPr>
      </w:pPr>
      <w:r w:rsidRPr="0043703E">
        <w:rPr>
          <w:sz w:val="22"/>
          <w:szCs w:val="22"/>
        </w:rPr>
        <w:t xml:space="preserve">As mentioned previously, the </w:t>
      </w:r>
      <w:r w:rsidRPr="0043703E">
        <w:rPr>
          <w:i/>
          <w:sz w:val="22"/>
          <w:szCs w:val="22"/>
        </w:rPr>
        <w:t>vâli</w:t>
      </w:r>
      <w:r w:rsidRPr="0043703E">
        <w:rPr>
          <w:sz w:val="22"/>
          <w:szCs w:val="22"/>
        </w:rPr>
        <w:t xml:space="preserve"> </w:t>
      </w:r>
      <w:r w:rsidR="00D91AE6" w:rsidRPr="0043703E">
        <w:rPr>
          <w:sz w:val="22"/>
          <w:szCs w:val="22"/>
        </w:rPr>
        <w:t>Midhat Pasha</w:t>
      </w:r>
      <w:r w:rsidRPr="0043703E">
        <w:rPr>
          <w:sz w:val="22"/>
          <w:szCs w:val="22"/>
        </w:rPr>
        <w:t xml:space="preserve"> visited Haifa during his inspection of Palestine.  There is other evidence apart from the German source above that he also visited ‘Akká.</w:t>
      </w:r>
      <w:r w:rsidR="000815A4" w:rsidRPr="0043703E">
        <w:rPr>
          <w:rStyle w:val="FootnoteReference"/>
          <w:sz w:val="22"/>
          <w:szCs w:val="22"/>
        </w:rPr>
        <w:footnoteReference w:id="31"/>
      </w:r>
      <w:r w:rsidRPr="0043703E">
        <w:rPr>
          <w:sz w:val="22"/>
          <w:szCs w:val="22"/>
        </w:rPr>
        <w:t xml:space="preserve"> </w:t>
      </w:r>
      <w:r w:rsidR="000815A4" w:rsidRPr="0043703E">
        <w:rPr>
          <w:sz w:val="22"/>
          <w:szCs w:val="22"/>
        </w:rPr>
        <w:t xml:space="preserve"> </w:t>
      </w:r>
      <w:r w:rsidRPr="0043703E">
        <w:rPr>
          <w:sz w:val="22"/>
          <w:szCs w:val="22"/>
        </w:rPr>
        <w:t xml:space="preserve">But the only published reference in a Bahá’í source known to the present author that mentions </w:t>
      </w:r>
      <w:r w:rsidR="00D91AE6" w:rsidRPr="0043703E">
        <w:rPr>
          <w:sz w:val="22"/>
          <w:szCs w:val="22"/>
        </w:rPr>
        <w:t>Midhat Pasha</w:t>
      </w:r>
      <w:r w:rsidRPr="0043703E">
        <w:rPr>
          <w:sz w:val="22"/>
          <w:szCs w:val="22"/>
        </w:rPr>
        <w:t xml:space="preserve">’s visit to ‘Akká is by </w:t>
      </w:r>
      <w:r w:rsidR="00DE12CA" w:rsidRPr="0043703E">
        <w:rPr>
          <w:sz w:val="22"/>
          <w:szCs w:val="22"/>
        </w:rPr>
        <w:t>Ḥ</w:t>
      </w:r>
      <w:r w:rsidRPr="0043703E">
        <w:rPr>
          <w:sz w:val="22"/>
          <w:szCs w:val="22"/>
        </w:rPr>
        <w:t xml:space="preserve">usayn </w:t>
      </w:r>
      <w:r w:rsidR="00DE12CA" w:rsidRPr="0043703E">
        <w:rPr>
          <w:sz w:val="22"/>
          <w:szCs w:val="22"/>
        </w:rPr>
        <w:t>“Á</w:t>
      </w:r>
      <w:r w:rsidRPr="0043703E">
        <w:rPr>
          <w:sz w:val="22"/>
          <w:szCs w:val="22"/>
        </w:rPr>
        <w:t>v</w:t>
      </w:r>
      <w:r w:rsidR="00DE12CA" w:rsidRPr="0043703E">
        <w:rPr>
          <w:sz w:val="22"/>
          <w:szCs w:val="22"/>
        </w:rPr>
        <w:t>á</w:t>
      </w:r>
      <w:r w:rsidRPr="0043703E">
        <w:rPr>
          <w:sz w:val="22"/>
          <w:szCs w:val="22"/>
        </w:rPr>
        <w:t>rih</w:t>
      </w:r>
      <w:r w:rsidR="00DE12CA" w:rsidRPr="0043703E">
        <w:rPr>
          <w:sz w:val="22"/>
          <w:szCs w:val="22"/>
        </w:rPr>
        <w:t>” Á</w:t>
      </w:r>
      <w:r w:rsidRPr="0043703E">
        <w:rPr>
          <w:sz w:val="22"/>
          <w:szCs w:val="22"/>
        </w:rPr>
        <w:t>yat</w:t>
      </w:r>
      <w:r w:rsidR="00DE12CA" w:rsidRPr="0043703E">
        <w:rPr>
          <w:sz w:val="22"/>
          <w:szCs w:val="22"/>
        </w:rPr>
        <w:t>í</w:t>
      </w:r>
      <w:r w:rsidRPr="0043703E">
        <w:rPr>
          <w:sz w:val="22"/>
          <w:szCs w:val="22"/>
        </w:rPr>
        <w:t>.  Interestingly, he also says that Midḥat met ‘Abdu’l-Bahá in ‘Akká and became so much his admirer that he also met ‘Abdu’l-Bahá in Beirut; and that Bahá’u’lláh permitted his son to journey to Beirut where the ‘young tree of the friendship with the Pá</w:t>
      </w:r>
      <w:r w:rsidRPr="0043703E">
        <w:rPr>
          <w:sz w:val="22"/>
          <w:szCs w:val="22"/>
          <w:u w:val="single"/>
        </w:rPr>
        <w:t>sh</w:t>
      </w:r>
      <w:r w:rsidRPr="0043703E">
        <w:rPr>
          <w:sz w:val="22"/>
          <w:szCs w:val="22"/>
        </w:rPr>
        <w:t>á was nourished’.</w:t>
      </w:r>
      <w:r w:rsidR="00DE12CA" w:rsidRPr="0043703E">
        <w:rPr>
          <w:rStyle w:val="FootnoteReference"/>
          <w:sz w:val="22"/>
          <w:szCs w:val="22"/>
        </w:rPr>
        <w:footnoteReference w:id="32"/>
      </w:r>
      <w:r w:rsidRPr="0043703E">
        <w:rPr>
          <w:sz w:val="22"/>
          <w:szCs w:val="22"/>
        </w:rPr>
        <w:t xml:space="preserve"> </w:t>
      </w:r>
      <w:r w:rsidR="00DE12CA" w:rsidRPr="0043703E">
        <w:rPr>
          <w:sz w:val="22"/>
          <w:szCs w:val="22"/>
        </w:rPr>
        <w:t xml:space="preserve"> </w:t>
      </w:r>
      <w:r w:rsidRPr="0043703E">
        <w:rPr>
          <w:sz w:val="22"/>
          <w:szCs w:val="22"/>
        </w:rPr>
        <w:t xml:space="preserve">According to </w:t>
      </w:r>
      <w:r w:rsidR="00DE12CA" w:rsidRPr="0043703E">
        <w:rPr>
          <w:sz w:val="22"/>
          <w:szCs w:val="22"/>
        </w:rPr>
        <w:t>Á</w:t>
      </w:r>
      <w:r w:rsidRPr="0043703E">
        <w:rPr>
          <w:sz w:val="22"/>
          <w:szCs w:val="22"/>
        </w:rPr>
        <w:t>yat</w:t>
      </w:r>
      <w:r w:rsidR="00DE12CA" w:rsidRPr="0043703E">
        <w:rPr>
          <w:sz w:val="22"/>
          <w:szCs w:val="22"/>
        </w:rPr>
        <w:t>í</w:t>
      </w:r>
      <w:r w:rsidRPr="0043703E">
        <w:rPr>
          <w:sz w:val="22"/>
          <w:szCs w:val="22"/>
        </w:rPr>
        <w:t xml:space="preserve"> the visit of the Pá</w:t>
      </w:r>
      <w:r w:rsidRPr="0043703E">
        <w:rPr>
          <w:sz w:val="22"/>
          <w:szCs w:val="22"/>
          <w:u w:val="single"/>
        </w:rPr>
        <w:t>sh</w:t>
      </w:r>
      <w:r w:rsidRPr="0043703E">
        <w:rPr>
          <w:sz w:val="22"/>
          <w:szCs w:val="22"/>
        </w:rPr>
        <w:t xml:space="preserve">á to ‘Akká and his meeting with ‘Abdu’l-Bahá thus occurred before the latter’s visit to Beirut, and we have the first, albeit brief, reference to an encounter between </w:t>
      </w:r>
      <w:r w:rsidR="00D91AE6" w:rsidRPr="0043703E">
        <w:rPr>
          <w:sz w:val="22"/>
          <w:szCs w:val="22"/>
        </w:rPr>
        <w:t>Midhat Pasha</w:t>
      </w:r>
      <w:r w:rsidRPr="0043703E">
        <w:rPr>
          <w:sz w:val="22"/>
          <w:szCs w:val="22"/>
        </w:rPr>
        <w:t xml:space="preserve"> and ‘Abdu’l-Bahá in ‘Akká.  This important information seems to have escaped the attention of later Bahá’í historians and can be supported now by another source.</w:t>
      </w:r>
    </w:p>
    <w:p w14:paraId="273BD1E2" w14:textId="77777777" w:rsidR="004165B2" w:rsidRPr="0043703E" w:rsidRDefault="004165B2" w:rsidP="0043703E">
      <w:pPr>
        <w:pStyle w:val="Text"/>
        <w:spacing w:line="264" w:lineRule="auto"/>
        <w:rPr>
          <w:sz w:val="22"/>
          <w:szCs w:val="22"/>
        </w:rPr>
      </w:pPr>
      <w:r w:rsidRPr="0043703E">
        <w:rPr>
          <w:sz w:val="22"/>
          <w:szCs w:val="22"/>
        </w:rPr>
        <w:t xml:space="preserve">Recently a Persian manuscript that is an autograph by the noted Bahá’í </w:t>
      </w:r>
      <w:r w:rsidR="00A34023" w:rsidRPr="0043703E">
        <w:rPr>
          <w:sz w:val="22"/>
          <w:szCs w:val="22"/>
        </w:rPr>
        <w:t>Ḥá</w:t>
      </w:r>
      <w:r w:rsidRPr="0043703E">
        <w:rPr>
          <w:sz w:val="22"/>
          <w:szCs w:val="22"/>
        </w:rPr>
        <w:t>j</w:t>
      </w:r>
      <w:r w:rsidR="00A34023" w:rsidRPr="0043703E">
        <w:rPr>
          <w:sz w:val="22"/>
          <w:szCs w:val="22"/>
        </w:rPr>
        <w:t>í</w:t>
      </w:r>
      <w:r w:rsidRPr="0043703E">
        <w:rPr>
          <w:sz w:val="22"/>
          <w:szCs w:val="22"/>
        </w:rPr>
        <w:t xml:space="preserve"> M</w:t>
      </w:r>
      <w:r w:rsidR="00A34023" w:rsidRPr="0043703E">
        <w:rPr>
          <w:sz w:val="22"/>
          <w:szCs w:val="22"/>
        </w:rPr>
        <w:t>í</w:t>
      </w:r>
      <w:r w:rsidRPr="0043703E">
        <w:rPr>
          <w:sz w:val="22"/>
          <w:szCs w:val="22"/>
        </w:rPr>
        <w:t>rz</w:t>
      </w:r>
      <w:r w:rsidR="00A34023" w:rsidRPr="0043703E">
        <w:rPr>
          <w:sz w:val="22"/>
          <w:szCs w:val="22"/>
        </w:rPr>
        <w:t>á</w:t>
      </w:r>
      <w:r w:rsidRPr="0043703E">
        <w:rPr>
          <w:sz w:val="22"/>
          <w:szCs w:val="22"/>
        </w:rPr>
        <w:t xml:space="preserve"> </w:t>
      </w:r>
      <w:r w:rsidR="00A34023" w:rsidRPr="0043703E">
        <w:rPr>
          <w:sz w:val="22"/>
          <w:szCs w:val="22"/>
        </w:rPr>
        <w:t>Ḥ</w:t>
      </w:r>
      <w:r w:rsidRPr="0043703E">
        <w:rPr>
          <w:sz w:val="22"/>
          <w:szCs w:val="22"/>
        </w:rPr>
        <w:t>aydar ‘Al</w:t>
      </w:r>
      <w:r w:rsidR="00A34023" w:rsidRPr="0043703E">
        <w:rPr>
          <w:sz w:val="22"/>
          <w:szCs w:val="22"/>
        </w:rPr>
        <w:t>í</w:t>
      </w:r>
      <w:r w:rsidRPr="0043703E">
        <w:rPr>
          <w:sz w:val="22"/>
          <w:szCs w:val="22"/>
        </w:rPr>
        <w:t xml:space="preserve">, kept at the Archives of the Bahá’í World Centre in Haifa, has surfaced, which mentions </w:t>
      </w:r>
      <w:r w:rsidR="00D91AE6" w:rsidRPr="0043703E">
        <w:rPr>
          <w:sz w:val="22"/>
          <w:szCs w:val="22"/>
        </w:rPr>
        <w:t>Midhat Pasha</w:t>
      </w:r>
      <w:r w:rsidRPr="0043703E">
        <w:rPr>
          <w:sz w:val="22"/>
          <w:szCs w:val="22"/>
        </w:rPr>
        <w:t>’s meetings with ‘Abdu’l-Bahá in, and near, ‘Akká in some detail.</w:t>
      </w:r>
      <w:r w:rsidR="00CC0CBA" w:rsidRPr="0043703E">
        <w:rPr>
          <w:rStyle w:val="FootnoteReference"/>
          <w:sz w:val="22"/>
          <w:szCs w:val="22"/>
        </w:rPr>
        <w:footnoteReference w:id="33"/>
      </w:r>
      <w:r w:rsidRPr="0043703E">
        <w:rPr>
          <w:sz w:val="22"/>
          <w:szCs w:val="22"/>
        </w:rPr>
        <w:t xml:space="preserve"> </w:t>
      </w:r>
      <w:r w:rsidR="00A34023" w:rsidRPr="0043703E">
        <w:rPr>
          <w:sz w:val="22"/>
          <w:szCs w:val="22"/>
        </w:rPr>
        <w:t xml:space="preserve"> Ḥá</w:t>
      </w:r>
      <w:r w:rsidRPr="0043703E">
        <w:rPr>
          <w:sz w:val="22"/>
          <w:szCs w:val="22"/>
        </w:rPr>
        <w:t>j</w:t>
      </w:r>
      <w:r w:rsidR="00A34023" w:rsidRPr="0043703E">
        <w:rPr>
          <w:sz w:val="22"/>
          <w:szCs w:val="22"/>
        </w:rPr>
        <w:t>í</w:t>
      </w:r>
      <w:r w:rsidRPr="0043703E">
        <w:rPr>
          <w:sz w:val="22"/>
          <w:szCs w:val="22"/>
        </w:rPr>
        <w:t xml:space="preserve"> M</w:t>
      </w:r>
      <w:r w:rsidR="00A34023" w:rsidRPr="0043703E">
        <w:rPr>
          <w:sz w:val="22"/>
          <w:szCs w:val="22"/>
        </w:rPr>
        <w:t>í</w:t>
      </w:r>
      <w:r w:rsidRPr="0043703E">
        <w:rPr>
          <w:sz w:val="22"/>
          <w:szCs w:val="22"/>
        </w:rPr>
        <w:t>rz</w:t>
      </w:r>
      <w:r w:rsidR="00A34023" w:rsidRPr="0043703E">
        <w:rPr>
          <w:sz w:val="22"/>
          <w:szCs w:val="22"/>
        </w:rPr>
        <w:t>á</w:t>
      </w:r>
      <w:r w:rsidRPr="0043703E">
        <w:rPr>
          <w:sz w:val="22"/>
          <w:szCs w:val="22"/>
        </w:rPr>
        <w:t xml:space="preserve"> </w:t>
      </w:r>
      <w:r w:rsidR="00A34023" w:rsidRPr="0043703E">
        <w:rPr>
          <w:sz w:val="22"/>
          <w:szCs w:val="22"/>
        </w:rPr>
        <w:t>Ḥ</w:t>
      </w:r>
      <w:r w:rsidRPr="0043703E">
        <w:rPr>
          <w:sz w:val="22"/>
          <w:szCs w:val="22"/>
        </w:rPr>
        <w:t>aydar ‘Al</w:t>
      </w:r>
      <w:r w:rsidR="00A34023" w:rsidRPr="0043703E">
        <w:rPr>
          <w:sz w:val="22"/>
          <w:szCs w:val="22"/>
        </w:rPr>
        <w:t>í</w:t>
      </w:r>
      <w:r w:rsidRPr="0043703E">
        <w:rPr>
          <w:sz w:val="22"/>
          <w:szCs w:val="22"/>
        </w:rPr>
        <w:t xml:space="preserve"> was an exceptional Iranian Bahá’í, who propagated the Bahá’í Faith very actively.  He spent nine years in prison and exile in Khartoum (Sudan), travelled far and wide in Iran, and passed away in 1920 in the Holy Land.  Bahá’í pilgrims from the West knew him as the ‘Angel of Mount Carmel’.  He spent some time in the presence of Bahá’u’lláh and ‘Abdu’l-Bahá in the Holy Land and wrote memoirs of this.</w:t>
      </w:r>
      <w:r w:rsidR="00B74E56" w:rsidRPr="0043703E">
        <w:rPr>
          <w:rStyle w:val="FootnoteReference"/>
          <w:sz w:val="22"/>
          <w:szCs w:val="22"/>
        </w:rPr>
        <w:footnoteReference w:id="34"/>
      </w:r>
      <w:r w:rsidRPr="0043703E">
        <w:rPr>
          <w:sz w:val="22"/>
          <w:szCs w:val="22"/>
        </w:rPr>
        <w:t xml:space="preserve"> </w:t>
      </w:r>
      <w:r w:rsidR="00B74E56" w:rsidRPr="0043703E">
        <w:rPr>
          <w:sz w:val="22"/>
          <w:szCs w:val="22"/>
        </w:rPr>
        <w:t xml:space="preserve"> </w:t>
      </w:r>
      <w:r w:rsidRPr="0043703E">
        <w:rPr>
          <w:sz w:val="22"/>
          <w:szCs w:val="22"/>
        </w:rPr>
        <w:t xml:space="preserve">His account of </w:t>
      </w:r>
      <w:r w:rsidR="00D91AE6" w:rsidRPr="0043703E">
        <w:rPr>
          <w:sz w:val="22"/>
          <w:szCs w:val="22"/>
        </w:rPr>
        <w:t>Midhat Pasha</w:t>
      </w:r>
      <w:r w:rsidRPr="0043703E">
        <w:rPr>
          <w:sz w:val="22"/>
          <w:szCs w:val="22"/>
        </w:rPr>
        <w:t>’s meeting with ‘Abdu’l-Bahá serves as the historical background of the encounter in the ‘Land of B</w:t>
      </w:r>
      <w:r w:rsidR="005C4BC7" w:rsidRPr="0043703E">
        <w:rPr>
          <w:sz w:val="22"/>
          <w:szCs w:val="22"/>
        </w:rPr>
        <w:t>á</w:t>
      </w:r>
      <w:r w:rsidRPr="0043703E">
        <w:rPr>
          <w:sz w:val="22"/>
          <w:szCs w:val="22"/>
        </w:rPr>
        <w:t xml:space="preserve">’ and the revelation of the tablet in question.  The date of the manuscript’s composition is not clear, but it is after the death of </w:t>
      </w:r>
      <w:r w:rsidR="00D91AE6" w:rsidRPr="0043703E">
        <w:rPr>
          <w:sz w:val="22"/>
          <w:szCs w:val="22"/>
        </w:rPr>
        <w:t>Midhat Pasha</w:t>
      </w:r>
      <w:r w:rsidRPr="0043703E">
        <w:rPr>
          <w:sz w:val="22"/>
          <w:szCs w:val="22"/>
        </w:rPr>
        <w:t xml:space="preserve"> in May 1884, since the author speaks about ‘the late </w:t>
      </w:r>
      <w:r w:rsidR="00D91AE6" w:rsidRPr="0043703E">
        <w:rPr>
          <w:sz w:val="22"/>
          <w:szCs w:val="22"/>
        </w:rPr>
        <w:t>Mid</w:t>
      </w:r>
      <w:r w:rsidR="005C4BC7" w:rsidRPr="0043703E">
        <w:rPr>
          <w:sz w:val="22"/>
          <w:szCs w:val="22"/>
        </w:rPr>
        <w:t>ḥ</w:t>
      </w:r>
      <w:r w:rsidR="00D91AE6" w:rsidRPr="0043703E">
        <w:rPr>
          <w:sz w:val="22"/>
          <w:szCs w:val="22"/>
        </w:rPr>
        <w:t>at P</w:t>
      </w:r>
      <w:r w:rsidR="005C4BC7" w:rsidRPr="0043703E">
        <w:rPr>
          <w:sz w:val="22"/>
          <w:szCs w:val="22"/>
        </w:rPr>
        <w:t>á</w:t>
      </w:r>
      <w:r w:rsidR="00D91AE6" w:rsidRPr="0043703E">
        <w:rPr>
          <w:sz w:val="22"/>
          <w:szCs w:val="22"/>
          <w:u w:val="single"/>
        </w:rPr>
        <w:t>sh</w:t>
      </w:r>
      <w:r w:rsidR="005C4BC7" w:rsidRPr="0043703E">
        <w:rPr>
          <w:sz w:val="22"/>
          <w:szCs w:val="22"/>
        </w:rPr>
        <w:t>á</w:t>
      </w:r>
      <w:r w:rsidRPr="0043703E">
        <w:rPr>
          <w:sz w:val="22"/>
          <w:szCs w:val="22"/>
        </w:rPr>
        <w:t>’.</w:t>
      </w:r>
    </w:p>
    <w:p w14:paraId="3CEFA3D1" w14:textId="77777777" w:rsidR="004165B2" w:rsidRPr="0043703E" w:rsidRDefault="004165B2" w:rsidP="0043703E">
      <w:pPr>
        <w:pStyle w:val="Text"/>
        <w:spacing w:line="264" w:lineRule="auto"/>
        <w:rPr>
          <w:sz w:val="22"/>
          <w:szCs w:val="22"/>
        </w:rPr>
      </w:pPr>
      <w:r w:rsidRPr="0043703E">
        <w:rPr>
          <w:sz w:val="22"/>
          <w:szCs w:val="22"/>
        </w:rPr>
        <w:t>M</w:t>
      </w:r>
      <w:r w:rsidR="00E73AB1" w:rsidRPr="0043703E">
        <w:rPr>
          <w:sz w:val="22"/>
          <w:szCs w:val="22"/>
        </w:rPr>
        <w:t>í</w:t>
      </w:r>
      <w:r w:rsidRPr="0043703E">
        <w:rPr>
          <w:sz w:val="22"/>
          <w:szCs w:val="22"/>
        </w:rPr>
        <w:t>rz</w:t>
      </w:r>
      <w:r w:rsidR="00E73AB1" w:rsidRPr="0043703E">
        <w:rPr>
          <w:sz w:val="22"/>
          <w:szCs w:val="22"/>
        </w:rPr>
        <w:t>á</w:t>
      </w:r>
      <w:r w:rsidRPr="0043703E">
        <w:rPr>
          <w:sz w:val="22"/>
          <w:szCs w:val="22"/>
        </w:rPr>
        <w:t xml:space="preserve"> </w:t>
      </w:r>
      <w:r w:rsidR="00E73AB1" w:rsidRPr="0043703E">
        <w:rPr>
          <w:sz w:val="22"/>
          <w:szCs w:val="22"/>
        </w:rPr>
        <w:t>Ḥ</w:t>
      </w:r>
      <w:r w:rsidRPr="0043703E">
        <w:rPr>
          <w:sz w:val="22"/>
          <w:szCs w:val="22"/>
        </w:rPr>
        <w:t>aydar ‘Al</w:t>
      </w:r>
      <w:r w:rsidR="00E73AB1" w:rsidRPr="0043703E">
        <w:rPr>
          <w:sz w:val="22"/>
          <w:szCs w:val="22"/>
        </w:rPr>
        <w:t>í</w:t>
      </w:r>
      <w:r w:rsidRPr="0043703E">
        <w:rPr>
          <w:sz w:val="22"/>
          <w:szCs w:val="22"/>
        </w:rPr>
        <w:t xml:space="preserve"> begins his account by introducing </w:t>
      </w:r>
      <w:r w:rsidR="00D91AE6" w:rsidRPr="0043703E">
        <w:rPr>
          <w:sz w:val="22"/>
          <w:szCs w:val="22"/>
        </w:rPr>
        <w:t>Mid</w:t>
      </w:r>
      <w:r w:rsidR="00E73AB1" w:rsidRPr="0043703E">
        <w:rPr>
          <w:sz w:val="22"/>
          <w:szCs w:val="22"/>
        </w:rPr>
        <w:t>ḥ</w:t>
      </w:r>
      <w:r w:rsidR="00D91AE6" w:rsidRPr="0043703E">
        <w:rPr>
          <w:sz w:val="22"/>
          <w:szCs w:val="22"/>
        </w:rPr>
        <w:t>at P</w:t>
      </w:r>
      <w:r w:rsidR="00E73AB1" w:rsidRPr="0043703E">
        <w:rPr>
          <w:sz w:val="22"/>
          <w:szCs w:val="22"/>
        </w:rPr>
        <w:t>á</w:t>
      </w:r>
      <w:r w:rsidR="00D91AE6" w:rsidRPr="0043703E">
        <w:rPr>
          <w:sz w:val="22"/>
          <w:szCs w:val="22"/>
          <w:u w:val="single"/>
        </w:rPr>
        <w:t>sh</w:t>
      </w:r>
      <w:r w:rsidR="00E73AB1" w:rsidRPr="0043703E">
        <w:rPr>
          <w:sz w:val="22"/>
          <w:szCs w:val="22"/>
        </w:rPr>
        <w:t>á</w:t>
      </w:r>
      <w:r w:rsidRPr="0043703E">
        <w:rPr>
          <w:sz w:val="22"/>
          <w:szCs w:val="22"/>
        </w:rPr>
        <w:t xml:space="preserve"> as the one who established democracy in the Ottoman domains, toppled Sultan Abdülaziz from his throne and brought about his death, as prophesied by Bahá’u’lláh in his Arabic </w:t>
      </w:r>
      <w:r w:rsidRPr="0043703E">
        <w:rPr>
          <w:i/>
          <w:sz w:val="22"/>
          <w:szCs w:val="22"/>
        </w:rPr>
        <w:t>Law</w:t>
      </w:r>
      <w:r w:rsidR="00E73AB1" w:rsidRPr="0043703E">
        <w:rPr>
          <w:i/>
          <w:sz w:val="22"/>
          <w:szCs w:val="22"/>
        </w:rPr>
        <w:t>ḥ</w:t>
      </w:r>
      <w:r w:rsidRPr="0043703E">
        <w:rPr>
          <w:i/>
          <w:sz w:val="22"/>
          <w:szCs w:val="22"/>
        </w:rPr>
        <w:t>-i</w:t>
      </w:r>
      <w:r w:rsidR="00771EE4" w:rsidRPr="0043703E">
        <w:rPr>
          <w:i/>
          <w:sz w:val="22"/>
          <w:szCs w:val="22"/>
        </w:rPr>
        <w:t>-</w:t>
      </w:r>
      <w:r w:rsidRPr="0043703E">
        <w:rPr>
          <w:i/>
          <w:sz w:val="22"/>
          <w:szCs w:val="22"/>
        </w:rPr>
        <w:t>Ra’</w:t>
      </w:r>
      <w:r w:rsidR="00E73AB1" w:rsidRPr="0043703E">
        <w:rPr>
          <w:i/>
          <w:sz w:val="22"/>
          <w:szCs w:val="22"/>
        </w:rPr>
        <w:t>í</w:t>
      </w:r>
      <w:r w:rsidRPr="0043703E">
        <w:rPr>
          <w:i/>
          <w:sz w:val="22"/>
          <w:szCs w:val="22"/>
        </w:rPr>
        <w:t>s</w:t>
      </w:r>
      <w:r w:rsidRPr="0043703E">
        <w:rPr>
          <w:sz w:val="22"/>
          <w:szCs w:val="22"/>
        </w:rPr>
        <w:t xml:space="preserve"> (‘Tablet to the Chief’) addressed to Âli P</w:t>
      </w:r>
      <w:r w:rsidR="009E7722" w:rsidRPr="0043703E">
        <w:rPr>
          <w:sz w:val="22"/>
          <w:szCs w:val="22"/>
        </w:rPr>
        <w:t>a</w:t>
      </w:r>
      <w:r w:rsidRPr="0043703E">
        <w:rPr>
          <w:sz w:val="22"/>
          <w:szCs w:val="22"/>
        </w:rPr>
        <w:t>sh</w:t>
      </w:r>
      <w:r w:rsidR="009E7722" w:rsidRPr="0043703E">
        <w:rPr>
          <w:sz w:val="22"/>
          <w:szCs w:val="22"/>
        </w:rPr>
        <w:t>a</w:t>
      </w:r>
      <w:r w:rsidRPr="0043703E">
        <w:rPr>
          <w:sz w:val="22"/>
          <w:szCs w:val="22"/>
        </w:rPr>
        <w:t>, who then was changing roles between the office of prime and foreign minister with Fu’ad P</w:t>
      </w:r>
      <w:r w:rsidR="009E7722" w:rsidRPr="0043703E">
        <w:rPr>
          <w:sz w:val="22"/>
          <w:szCs w:val="22"/>
        </w:rPr>
        <w:t>a</w:t>
      </w:r>
      <w:r w:rsidRPr="0043703E">
        <w:rPr>
          <w:sz w:val="22"/>
          <w:szCs w:val="22"/>
        </w:rPr>
        <w:t>sh</w:t>
      </w:r>
      <w:r w:rsidR="009E7722" w:rsidRPr="0043703E">
        <w:rPr>
          <w:sz w:val="22"/>
          <w:szCs w:val="22"/>
        </w:rPr>
        <w:t>a</w:t>
      </w:r>
      <w:r w:rsidRPr="0043703E">
        <w:rPr>
          <w:sz w:val="22"/>
          <w:szCs w:val="22"/>
        </w:rPr>
        <w:t>.  In that passage Bahá’u’lláh states that Âli’s attempts to attack the religion of God (</w:t>
      </w:r>
      <w:proofErr w:type="gramStart"/>
      <w:r w:rsidRPr="0043703E">
        <w:rPr>
          <w:sz w:val="22"/>
          <w:szCs w:val="22"/>
        </w:rPr>
        <w:t>i.e.</w:t>
      </w:r>
      <w:proofErr w:type="gramEnd"/>
      <w:r w:rsidRPr="0043703E">
        <w:rPr>
          <w:sz w:val="22"/>
          <w:szCs w:val="22"/>
        </w:rPr>
        <w:t xml:space="preserve"> the Bahá’í Faith) are futile, and he predicts the capture of Edirne.  According to Bahá’í interpretation, the war between the Ottomans and Russia in 1877/1878 fulfilled this prediction when the Russians occupied Edirne.</w:t>
      </w:r>
      <w:r w:rsidR="00475928" w:rsidRPr="0043703E">
        <w:rPr>
          <w:rStyle w:val="FootnoteReference"/>
          <w:sz w:val="22"/>
          <w:szCs w:val="22"/>
        </w:rPr>
        <w:footnoteReference w:id="35"/>
      </w:r>
      <w:r w:rsidRPr="0043703E">
        <w:rPr>
          <w:sz w:val="22"/>
          <w:szCs w:val="22"/>
        </w:rPr>
        <w:t xml:space="preserve"> </w:t>
      </w:r>
      <w:r w:rsidR="000505DD" w:rsidRPr="0043703E">
        <w:rPr>
          <w:sz w:val="22"/>
          <w:szCs w:val="22"/>
        </w:rPr>
        <w:t xml:space="preserve"> </w:t>
      </w:r>
      <w:r w:rsidRPr="0043703E">
        <w:rPr>
          <w:sz w:val="22"/>
          <w:szCs w:val="22"/>
        </w:rPr>
        <w:t>A clearer reference</w:t>
      </w:r>
    </w:p>
    <w:p w14:paraId="506C6529" w14:textId="77777777" w:rsidR="004165B2" w:rsidRPr="0043703E" w:rsidRDefault="006A3E81" w:rsidP="0043703E">
      <w:pPr>
        <w:pStyle w:val="Textcts"/>
        <w:spacing w:line="264" w:lineRule="auto"/>
        <w:rPr>
          <w:sz w:val="22"/>
          <w:szCs w:val="22"/>
        </w:rPr>
      </w:pPr>
      <w:r w:rsidRPr="0043703E">
        <w:rPr>
          <w:sz w:val="22"/>
          <w:szCs w:val="22"/>
        </w:rPr>
        <w:br w:type="page"/>
      </w:r>
      <w:r w:rsidR="004165B2" w:rsidRPr="0043703E">
        <w:rPr>
          <w:sz w:val="22"/>
          <w:szCs w:val="22"/>
        </w:rPr>
        <w:lastRenderedPageBreak/>
        <w:t xml:space="preserve">to the removal of Abdülaziz is to be found in Bahá’u’lláh’s </w:t>
      </w:r>
      <w:r w:rsidR="004165B2" w:rsidRPr="0043703E">
        <w:rPr>
          <w:i/>
          <w:sz w:val="22"/>
          <w:szCs w:val="22"/>
        </w:rPr>
        <w:t>Law</w:t>
      </w:r>
      <w:r w:rsidR="009B084C" w:rsidRPr="0043703E">
        <w:rPr>
          <w:i/>
          <w:sz w:val="22"/>
          <w:szCs w:val="22"/>
        </w:rPr>
        <w:t>ḥ</w:t>
      </w:r>
      <w:r w:rsidR="004165B2" w:rsidRPr="0043703E">
        <w:rPr>
          <w:i/>
          <w:sz w:val="22"/>
          <w:szCs w:val="22"/>
        </w:rPr>
        <w:t>-i</w:t>
      </w:r>
      <w:r w:rsidR="00771EE4" w:rsidRPr="0043703E">
        <w:rPr>
          <w:i/>
          <w:sz w:val="22"/>
          <w:szCs w:val="22"/>
        </w:rPr>
        <w:t>-</w:t>
      </w:r>
      <w:r w:rsidR="004165B2" w:rsidRPr="0043703E">
        <w:rPr>
          <w:i/>
          <w:sz w:val="22"/>
          <w:szCs w:val="22"/>
        </w:rPr>
        <w:t>Fu’</w:t>
      </w:r>
      <w:r w:rsidR="009B084C" w:rsidRPr="0043703E">
        <w:rPr>
          <w:i/>
          <w:sz w:val="22"/>
          <w:szCs w:val="22"/>
        </w:rPr>
        <w:t>á</w:t>
      </w:r>
      <w:r w:rsidR="004165B2" w:rsidRPr="0043703E">
        <w:rPr>
          <w:i/>
          <w:sz w:val="22"/>
          <w:szCs w:val="22"/>
        </w:rPr>
        <w:t>d</w:t>
      </w:r>
      <w:proofErr w:type="gramStart"/>
      <w:r w:rsidR="004165B2" w:rsidRPr="0043703E">
        <w:rPr>
          <w:sz w:val="22"/>
          <w:szCs w:val="22"/>
        </w:rPr>
        <w:t>:  ‘</w:t>
      </w:r>
      <w:proofErr w:type="gramEnd"/>
      <w:r w:rsidR="004165B2" w:rsidRPr="0043703E">
        <w:rPr>
          <w:sz w:val="22"/>
          <w:szCs w:val="22"/>
        </w:rPr>
        <w:t>Soon will We dismiss the one (‘Al</w:t>
      </w:r>
      <w:r w:rsidR="0003280F" w:rsidRPr="0043703E">
        <w:rPr>
          <w:sz w:val="22"/>
          <w:szCs w:val="22"/>
        </w:rPr>
        <w:t>í</w:t>
      </w:r>
      <w:r w:rsidR="004165B2" w:rsidRPr="0043703E">
        <w:rPr>
          <w:sz w:val="22"/>
          <w:szCs w:val="22"/>
        </w:rPr>
        <w:t xml:space="preserve"> Pá</w:t>
      </w:r>
      <w:r w:rsidR="004165B2" w:rsidRPr="0043703E">
        <w:rPr>
          <w:sz w:val="22"/>
          <w:szCs w:val="22"/>
          <w:u w:val="single"/>
        </w:rPr>
        <w:t>sh</w:t>
      </w:r>
      <w:r w:rsidR="004165B2" w:rsidRPr="0043703E">
        <w:rPr>
          <w:sz w:val="22"/>
          <w:szCs w:val="22"/>
        </w:rPr>
        <w:t>á) who was like unto him (Fu’</w:t>
      </w:r>
      <w:r w:rsidR="0003280F" w:rsidRPr="0043703E">
        <w:rPr>
          <w:sz w:val="22"/>
          <w:szCs w:val="22"/>
        </w:rPr>
        <w:t>á</w:t>
      </w:r>
      <w:r w:rsidR="004165B2" w:rsidRPr="0043703E">
        <w:rPr>
          <w:sz w:val="22"/>
          <w:szCs w:val="22"/>
        </w:rPr>
        <w:t>d Pá</w:t>
      </w:r>
      <w:r w:rsidR="004165B2" w:rsidRPr="0043703E">
        <w:rPr>
          <w:sz w:val="22"/>
          <w:szCs w:val="22"/>
          <w:u w:val="single"/>
        </w:rPr>
        <w:t>sh</w:t>
      </w:r>
      <w:r w:rsidR="004165B2" w:rsidRPr="0043703E">
        <w:rPr>
          <w:sz w:val="22"/>
          <w:szCs w:val="22"/>
        </w:rPr>
        <w:t>á) and will lay hold on their Chief (Sul</w:t>
      </w:r>
      <w:r w:rsidR="0003280F" w:rsidRPr="0043703E">
        <w:rPr>
          <w:sz w:val="22"/>
          <w:szCs w:val="22"/>
        </w:rPr>
        <w:t>ṭá</w:t>
      </w:r>
      <w:r w:rsidR="004165B2" w:rsidRPr="0043703E">
        <w:rPr>
          <w:sz w:val="22"/>
          <w:szCs w:val="22"/>
        </w:rPr>
        <w:t>n ‘Abdu’l-</w:t>
      </w:r>
      <w:r w:rsidR="0003280F" w:rsidRPr="0043703E">
        <w:rPr>
          <w:sz w:val="22"/>
          <w:szCs w:val="22"/>
        </w:rPr>
        <w:t>‘</w:t>
      </w:r>
      <w:r w:rsidR="004165B2" w:rsidRPr="0043703E">
        <w:rPr>
          <w:sz w:val="22"/>
          <w:szCs w:val="22"/>
        </w:rPr>
        <w:t>Az</w:t>
      </w:r>
      <w:r w:rsidR="0003280F" w:rsidRPr="0043703E">
        <w:rPr>
          <w:sz w:val="22"/>
          <w:szCs w:val="22"/>
        </w:rPr>
        <w:t>í</w:t>
      </w:r>
      <w:r w:rsidR="004165B2" w:rsidRPr="0043703E">
        <w:rPr>
          <w:sz w:val="22"/>
          <w:szCs w:val="22"/>
        </w:rPr>
        <w:t>z) who ruleth the land, and I, verily, am the Almighty, the All-Compelling.’</w:t>
      </w:r>
      <w:r w:rsidR="0003280F" w:rsidRPr="0043703E">
        <w:rPr>
          <w:rStyle w:val="FootnoteReference"/>
          <w:sz w:val="22"/>
          <w:szCs w:val="22"/>
        </w:rPr>
        <w:footnoteReference w:id="36"/>
      </w:r>
    </w:p>
    <w:p w14:paraId="6971C6BC" w14:textId="77777777" w:rsidR="004165B2" w:rsidRPr="0043703E" w:rsidRDefault="004165B2" w:rsidP="0043703E">
      <w:pPr>
        <w:pStyle w:val="Text"/>
        <w:spacing w:line="264" w:lineRule="auto"/>
        <w:rPr>
          <w:sz w:val="22"/>
          <w:szCs w:val="22"/>
        </w:rPr>
      </w:pPr>
      <w:r w:rsidRPr="0043703E">
        <w:rPr>
          <w:sz w:val="22"/>
          <w:szCs w:val="22"/>
        </w:rPr>
        <w:t xml:space="preserve">The author then refers to the discord between Sultan Abdülhamid and </w:t>
      </w:r>
      <w:r w:rsidR="00D91AE6" w:rsidRPr="0043703E">
        <w:rPr>
          <w:sz w:val="22"/>
          <w:szCs w:val="22"/>
        </w:rPr>
        <w:t>Midhat Pasha</w:t>
      </w:r>
      <w:r w:rsidRPr="0043703E">
        <w:rPr>
          <w:sz w:val="22"/>
          <w:szCs w:val="22"/>
        </w:rPr>
        <w:t xml:space="preserve">, the former having the minister appointed </w:t>
      </w:r>
      <w:r w:rsidRPr="0043703E">
        <w:rPr>
          <w:i/>
          <w:sz w:val="22"/>
          <w:szCs w:val="22"/>
        </w:rPr>
        <w:t>vâli</w:t>
      </w:r>
      <w:r w:rsidRPr="0043703E">
        <w:rPr>
          <w:sz w:val="22"/>
          <w:szCs w:val="22"/>
        </w:rPr>
        <w:t xml:space="preserve"> of Syria in order to counter his influence in Istanbul.  Once in Syria, Mid</w:t>
      </w:r>
      <w:r w:rsidR="00D65533" w:rsidRPr="0043703E">
        <w:rPr>
          <w:sz w:val="22"/>
          <w:szCs w:val="22"/>
        </w:rPr>
        <w:t>h</w:t>
      </w:r>
      <w:r w:rsidRPr="0043703E">
        <w:rPr>
          <w:sz w:val="22"/>
          <w:szCs w:val="22"/>
        </w:rPr>
        <w:t>at set out to reform that region for the well-being of its people.  M</w:t>
      </w:r>
      <w:r w:rsidR="00D65533" w:rsidRPr="0043703E">
        <w:rPr>
          <w:sz w:val="22"/>
          <w:szCs w:val="22"/>
        </w:rPr>
        <w:t>í</w:t>
      </w:r>
      <w:r w:rsidRPr="0043703E">
        <w:rPr>
          <w:sz w:val="22"/>
          <w:szCs w:val="22"/>
        </w:rPr>
        <w:t>rz</w:t>
      </w:r>
      <w:r w:rsidR="00D65533" w:rsidRPr="0043703E">
        <w:rPr>
          <w:sz w:val="22"/>
          <w:szCs w:val="22"/>
        </w:rPr>
        <w:t>á</w:t>
      </w:r>
      <w:r w:rsidRPr="0043703E">
        <w:rPr>
          <w:sz w:val="22"/>
          <w:szCs w:val="22"/>
        </w:rPr>
        <w:t xml:space="preserve"> </w:t>
      </w:r>
      <w:r w:rsidR="00D65533" w:rsidRPr="0043703E">
        <w:rPr>
          <w:sz w:val="22"/>
          <w:szCs w:val="22"/>
        </w:rPr>
        <w:t>Ḥ</w:t>
      </w:r>
      <w:r w:rsidRPr="0043703E">
        <w:rPr>
          <w:sz w:val="22"/>
          <w:szCs w:val="22"/>
        </w:rPr>
        <w:t>aydar ‘Al</w:t>
      </w:r>
      <w:r w:rsidR="00D65533" w:rsidRPr="0043703E">
        <w:rPr>
          <w:sz w:val="22"/>
          <w:szCs w:val="22"/>
        </w:rPr>
        <w:t>í</w:t>
      </w:r>
      <w:r w:rsidRPr="0043703E">
        <w:rPr>
          <w:sz w:val="22"/>
          <w:szCs w:val="22"/>
        </w:rPr>
        <w:t xml:space="preserve"> says that it was highly recommended to the governor that he </w:t>
      </w:r>
      <w:proofErr w:type="gramStart"/>
      <w:r w:rsidRPr="0043703E">
        <w:rPr>
          <w:sz w:val="22"/>
          <w:szCs w:val="22"/>
        </w:rPr>
        <w:t>stay</w:t>
      </w:r>
      <w:proofErr w:type="gramEnd"/>
      <w:r w:rsidRPr="0043703E">
        <w:rPr>
          <w:sz w:val="22"/>
          <w:szCs w:val="22"/>
        </w:rPr>
        <w:t xml:space="preserve"> during his inspection in the ‘Ri</w:t>
      </w:r>
      <w:r w:rsidR="00D65533" w:rsidRPr="0043703E">
        <w:rPr>
          <w:sz w:val="22"/>
          <w:szCs w:val="22"/>
        </w:rPr>
        <w:t>ḍ</w:t>
      </w:r>
      <w:r w:rsidRPr="0043703E">
        <w:rPr>
          <w:sz w:val="22"/>
          <w:szCs w:val="22"/>
        </w:rPr>
        <w:t>v</w:t>
      </w:r>
      <w:r w:rsidR="00D65533" w:rsidRPr="0043703E">
        <w:rPr>
          <w:sz w:val="22"/>
          <w:szCs w:val="22"/>
        </w:rPr>
        <w:t>á</w:t>
      </w:r>
      <w:r w:rsidRPr="0043703E">
        <w:rPr>
          <w:sz w:val="22"/>
          <w:szCs w:val="22"/>
        </w:rPr>
        <w:t>n Garden’ which, at that time, had been rented by ‘Abdu’l-Bahá.  That garden was originally known as ‘</w:t>
      </w:r>
      <w:proofErr w:type="gramStart"/>
      <w:r w:rsidRPr="0043703E">
        <w:rPr>
          <w:sz w:val="22"/>
          <w:szCs w:val="22"/>
        </w:rPr>
        <w:t>Na</w:t>
      </w:r>
      <w:r w:rsidR="00D65533" w:rsidRPr="0043703E">
        <w:rPr>
          <w:sz w:val="22"/>
          <w:szCs w:val="22"/>
        </w:rPr>
        <w:t>‘</w:t>
      </w:r>
      <w:proofErr w:type="gramEnd"/>
      <w:r w:rsidRPr="0043703E">
        <w:rPr>
          <w:sz w:val="22"/>
          <w:szCs w:val="22"/>
        </w:rPr>
        <w:t>mayn’ and used to be a small island in a river and has a special place in Bahá’u’lláh’s writings.  Shoghi Effendi makes mention of this location as follows:  ‘The garden of Na</w:t>
      </w:r>
      <w:r w:rsidR="00D65533" w:rsidRPr="0043703E">
        <w:rPr>
          <w:sz w:val="22"/>
          <w:szCs w:val="22"/>
        </w:rPr>
        <w:t>‘</w:t>
      </w:r>
      <w:r w:rsidRPr="0043703E">
        <w:rPr>
          <w:sz w:val="22"/>
          <w:szCs w:val="22"/>
        </w:rPr>
        <w:t>mayn, a small island, situated in the middle of a river to the east of the city, honoured with the appellation of Ri</w:t>
      </w:r>
      <w:r w:rsidR="00D65533" w:rsidRPr="0043703E">
        <w:rPr>
          <w:sz w:val="22"/>
          <w:szCs w:val="22"/>
        </w:rPr>
        <w:t>ḍ</w:t>
      </w:r>
      <w:r w:rsidRPr="0043703E">
        <w:rPr>
          <w:sz w:val="22"/>
          <w:szCs w:val="22"/>
        </w:rPr>
        <w:t>v</w:t>
      </w:r>
      <w:r w:rsidR="00D65533" w:rsidRPr="0043703E">
        <w:rPr>
          <w:sz w:val="22"/>
          <w:szCs w:val="22"/>
        </w:rPr>
        <w:t>á</w:t>
      </w:r>
      <w:r w:rsidRPr="0043703E">
        <w:rPr>
          <w:sz w:val="22"/>
          <w:szCs w:val="22"/>
        </w:rPr>
        <w:t>n, and designated by Him [Bahá’u’lláh] the “New Jerusalem” and “Our Verdant Isle,” had, together with the residence of ‘Abdu’ll</w:t>
      </w:r>
      <w:r w:rsidR="00D65533" w:rsidRPr="0043703E">
        <w:rPr>
          <w:sz w:val="22"/>
          <w:szCs w:val="22"/>
        </w:rPr>
        <w:t>á</w:t>
      </w:r>
      <w:r w:rsidRPr="0043703E">
        <w:rPr>
          <w:sz w:val="22"/>
          <w:szCs w:val="22"/>
        </w:rPr>
        <w:t>h Pá</w:t>
      </w:r>
      <w:r w:rsidRPr="0043703E">
        <w:rPr>
          <w:sz w:val="22"/>
          <w:szCs w:val="22"/>
          <w:u w:val="single"/>
        </w:rPr>
        <w:t>sh</w:t>
      </w:r>
      <w:r w:rsidRPr="0043703E">
        <w:rPr>
          <w:sz w:val="22"/>
          <w:szCs w:val="22"/>
        </w:rPr>
        <w:t>á</w:t>
      </w:r>
      <w:r w:rsidR="00D65533" w:rsidRPr="0043703E">
        <w:rPr>
          <w:sz w:val="22"/>
          <w:szCs w:val="22"/>
        </w:rPr>
        <w:t>—</w:t>
      </w:r>
      <w:r w:rsidRPr="0043703E">
        <w:rPr>
          <w:sz w:val="22"/>
          <w:szCs w:val="22"/>
        </w:rPr>
        <w:t>rented and prepared for Him by ‘Abdu’l-Bah¡, and situated a few miles north of ‘Akká</w:t>
      </w:r>
      <w:r w:rsidR="00D65533" w:rsidRPr="0043703E">
        <w:rPr>
          <w:sz w:val="22"/>
          <w:szCs w:val="22"/>
        </w:rPr>
        <w:t>—</w:t>
      </w:r>
      <w:r w:rsidRPr="0043703E">
        <w:rPr>
          <w:sz w:val="22"/>
          <w:szCs w:val="22"/>
        </w:rPr>
        <w:t>become by now the favourite retreats of One [Bahá’u’lláh] Who, for almost a decade, had not set foot beyond the city walls, and Whose sole exercise had been to pace, in monotonous repetition, the floor of His bed-chamber.’</w:t>
      </w:r>
      <w:r w:rsidR="00D65533" w:rsidRPr="0043703E">
        <w:rPr>
          <w:rStyle w:val="FootnoteReference"/>
          <w:sz w:val="22"/>
          <w:szCs w:val="22"/>
        </w:rPr>
        <w:footnoteReference w:id="37"/>
      </w:r>
      <w:r w:rsidR="00D65533" w:rsidRPr="0043703E">
        <w:rPr>
          <w:sz w:val="22"/>
          <w:szCs w:val="22"/>
        </w:rPr>
        <w:t xml:space="preserve"> </w:t>
      </w:r>
      <w:r w:rsidRPr="0043703E">
        <w:rPr>
          <w:sz w:val="22"/>
          <w:szCs w:val="22"/>
        </w:rPr>
        <w:t xml:space="preserve"> ‘Abdu’l-Bahá, who was responsible for the external affairs of Bahá’u’lláh and the band of his followers, was asked whether </w:t>
      </w:r>
      <w:r w:rsidR="00D91AE6" w:rsidRPr="0043703E">
        <w:rPr>
          <w:sz w:val="22"/>
          <w:szCs w:val="22"/>
        </w:rPr>
        <w:t>Midhat Pasha</w:t>
      </w:r>
      <w:r w:rsidRPr="0043703E">
        <w:rPr>
          <w:sz w:val="22"/>
          <w:szCs w:val="22"/>
        </w:rPr>
        <w:t xml:space="preserve"> could stay there and ‘Abdu’l-Bahá</w:t>
      </w:r>
      <w:r w:rsidR="00DC0FD2" w:rsidRPr="0043703E">
        <w:rPr>
          <w:sz w:val="22"/>
          <w:szCs w:val="22"/>
        </w:rPr>
        <w:t>—Ḥ</w:t>
      </w:r>
      <w:r w:rsidRPr="0043703E">
        <w:rPr>
          <w:sz w:val="22"/>
          <w:szCs w:val="22"/>
        </w:rPr>
        <w:t>aydar ‘Al</w:t>
      </w:r>
      <w:r w:rsidR="00DC0FD2" w:rsidRPr="0043703E">
        <w:rPr>
          <w:sz w:val="22"/>
          <w:szCs w:val="22"/>
        </w:rPr>
        <w:t>í</w:t>
      </w:r>
      <w:r w:rsidRPr="0043703E">
        <w:rPr>
          <w:sz w:val="22"/>
          <w:szCs w:val="22"/>
        </w:rPr>
        <w:t xml:space="preserve"> calls him Sark</w:t>
      </w:r>
      <w:r w:rsidR="00DC0FD2" w:rsidRPr="0043703E">
        <w:rPr>
          <w:sz w:val="22"/>
          <w:szCs w:val="22"/>
        </w:rPr>
        <w:t>á</w:t>
      </w:r>
      <w:r w:rsidRPr="0043703E">
        <w:rPr>
          <w:sz w:val="22"/>
          <w:szCs w:val="22"/>
        </w:rPr>
        <w:t>r</w:t>
      </w:r>
      <w:r w:rsidR="00DC0FD2" w:rsidRPr="0043703E">
        <w:rPr>
          <w:sz w:val="22"/>
          <w:szCs w:val="22"/>
        </w:rPr>
        <w:t>Áqá</w:t>
      </w:r>
      <w:r w:rsidR="002B518A" w:rsidRPr="0043703E">
        <w:rPr>
          <w:rStyle w:val="FootnoteReference"/>
          <w:sz w:val="22"/>
          <w:szCs w:val="22"/>
        </w:rPr>
        <w:footnoteReference w:id="38"/>
      </w:r>
      <w:r w:rsidR="00DC0FD2" w:rsidRPr="0043703E">
        <w:rPr>
          <w:sz w:val="22"/>
          <w:szCs w:val="22"/>
        </w:rPr>
        <w:t>—</w:t>
      </w:r>
      <w:r w:rsidRPr="0043703E">
        <w:rPr>
          <w:sz w:val="22"/>
          <w:szCs w:val="22"/>
        </w:rPr>
        <w:t>granted permission.</w:t>
      </w:r>
    </w:p>
    <w:p w14:paraId="4CE20944" w14:textId="77777777" w:rsidR="004165B2" w:rsidRPr="0043703E" w:rsidRDefault="004165B2" w:rsidP="0043703E">
      <w:pPr>
        <w:pStyle w:val="Text"/>
        <w:spacing w:line="264" w:lineRule="auto"/>
        <w:rPr>
          <w:sz w:val="22"/>
          <w:szCs w:val="22"/>
        </w:rPr>
      </w:pPr>
      <w:r w:rsidRPr="0043703E">
        <w:rPr>
          <w:sz w:val="22"/>
          <w:szCs w:val="22"/>
        </w:rPr>
        <w:t xml:space="preserve">One of the essential statements of this account is that </w:t>
      </w:r>
      <w:r w:rsidR="00D91AE6" w:rsidRPr="0043703E">
        <w:rPr>
          <w:sz w:val="22"/>
          <w:szCs w:val="22"/>
        </w:rPr>
        <w:t>Midhat Pasha</w:t>
      </w:r>
      <w:r w:rsidRPr="0043703E">
        <w:rPr>
          <w:sz w:val="22"/>
          <w:szCs w:val="22"/>
        </w:rPr>
        <w:t xml:space="preserve"> had information about ‘Abdu’l-Bahá through the praise of him by many intellectuals.  Among these were probably the above-mentioned Namık Kemal and Ziya P</w:t>
      </w:r>
      <w:r w:rsidR="00BF51DC" w:rsidRPr="0043703E">
        <w:rPr>
          <w:sz w:val="22"/>
          <w:szCs w:val="22"/>
        </w:rPr>
        <w:t>a</w:t>
      </w:r>
      <w:r w:rsidRPr="0043703E">
        <w:rPr>
          <w:sz w:val="22"/>
          <w:szCs w:val="22"/>
        </w:rPr>
        <w:t>sh</w:t>
      </w:r>
      <w:r w:rsidR="00BF51DC" w:rsidRPr="0043703E">
        <w:rPr>
          <w:sz w:val="22"/>
          <w:szCs w:val="22"/>
        </w:rPr>
        <w:t>a</w:t>
      </w:r>
      <w:r w:rsidRPr="0043703E">
        <w:rPr>
          <w:sz w:val="22"/>
          <w:szCs w:val="22"/>
        </w:rPr>
        <w:t>.  The Ottoman intellectual Süleyman Nazif writes:  ‘When I met ‘Abbas Efendi … two years ago [1917] in the town of Haifa he told me with complete sorrow that he had an extensive correspondence with Kemal Bey but that out of worry about investigation and persecution in the time of Sultan Abdülhamid II, he had burnt those letters.’</w:t>
      </w:r>
      <w:r w:rsidR="00BF51DC" w:rsidRPr="0043703E">
        <w:rPr>
          <w:rStyle w:val="FootnoteReference"/>
          <w:sz w:val="22"/>
          <w:szCs w:val="22"/>
        </w:rPr>
        <w:footnoteReference w:id="39"/>
      </w:r>
      <w:r w:rsidRPr="0043703E">
        <w:rPr>
          <w:sz w:val="22"/>
          <w:szCs w:val="22"/>
        </w:rPr>
        <w:t xml:space="preserve"> </w:t>
      </w:r>
      <w:r w:rsidR="00BF51DC" w:rsidRPr="0043703E">
        <w:rPr>
          <w:sz w:val="22"/>
          <w:szCs w:val="22"/>
        </w:rPr>
        <w:t xml:space="preserve"> </w:t>
      </w:r>
      <w:r w:rsidRPr="0043703E">
        <w:rPr>
          <w:sz w:val="22"/>
          <w:szCs w:val="22"/>
        </w:rPr>
        <w:t xml:space="preserve">Kemal lived in banishment in Cyprus from 1873 to 1876 and was perhaps in touch with ‘Abdu’l-Bahá through the Bahá’í exile </w:t>
      </w:r>
      <w:r w:rsidR="00C54BE6" w:rsidRPr="0043703E">
        <w:rPr>
          <w:sz w:val="22"/>
          <w:szCs w:val="22"/>
        </w:rPr>
        <w:t>Mi</w:t>
      </w:r>
      <w:r w:rsidR="00C54BE6" w:rsidRPr="0043703E">
        <w:rPr>
          <w:sz w:val="22"/>
          <w:szCs w:val="22"/>
          <w:u w:val="single"/>
        </w:rPr>
        <w:t>sh</w:t>
      </w:r>
      <w:r w:rsidR="00C54BE6" w:rsidRPr="0043703E">
        <w:rPr>
          <w:sz w:val="22"/>
          <w:szCs w:val="22"/>
        </w:rPr>
        <w:t>kín</w:t>
      </w:r>
      <w:r w:rsidRPr="0043703E">
        <w:rPr>
          <w:sz w:val="22"/>
          <w:szCs w:val="22"/>
        </w:rPr>
        <w:t xml:space="preserve"> Qalam.  Nazif, moreover, remarks that ‘Abdu’l-Bahá was acquainted with Ziya P</w:t>
      </w:r>
      <w:r w:rsidR="00C54BE6" w:rsidRPr="0043703E">
        <w:rPr>
          <w:sz w:val="22"/>
          <w:szCs w:val="22"/>
        </w:rPr>
        <w:t>a</w:t>
      </w:r>
      <w:r w:rsidRPr="0043703E">
        <w:rPr>
          <w:sz w:val="22"/>
          <w:szCs w:val="22"/>
        </w:rPr>
        <w:t>sh</w:t>
      </w:r>
      <w:r w:rsidR="00C54BE6" w:rsidRPr="0043703E">
        <w:rPr>
          <w:sz w:val="22"/>
          <w:szCs w:val="22"/>
        </w:rPr>
        <w:t>a</w:t>
      </w:r>
      <w:r w:rsidRPr="0043703E">
        <w:rPr>
          <w:sz w:val="22"/>
          <w:szCs w:val="22"/>
        </w:rPr>
        <w:t xml:space="preserve"> and was in contact with him.</w:t>
      </w:r>
      <w:r w:rsidR="00C54BE6" w:rsidRPr="0043703E">
        <w:rPr>
          <w:rStyle w:val="FootnoteReference"/>
          <w:sz w:val="22"/>
          <w:szCs w:val="22"/>
        </w:rPr>
        <w:footnoteReference w:id="40"/>
      </w:r>
      <w:r w:rsidRPr="0043703E">
        <w:rPr>
          <w:sz w:val="22"/>
          <w:szCs w:val="22"/>
        </w:rPr>
        <w:t xml:space="preserve"> </w:t>
      </w:r>
      <w:r w:rsidR="00C54BE6" w:rsidRPr="0043703E">
        <w:rPr>
          <w:sz w:val="22"/>
          <w:szCs w:val="22"/>
        </w:rPr>
        <w:t xml:space="preserve"> </w:t>
      </w:r>
      <w:r w:rsidRPr="0043703E">
        <w:rPr>
          <w:sz w:val="22"/>
          <w:szCs w:val="22"/>
        </w:rPr>
        <w:t xml:space="preserve">The advocacy of </w:t>
      </w:r>
      <w:r w:rsidR="00D91AE6" w:rsidRPr="0043703E">
        <w:rPr>
          <w:sz w:val="22"/>
          <w:szCs w:val="22"/>
        </w:rPr>
        <w:t>Midhat Pasha</w:t>
      </w:r>
      <w:r w:rsidRPr="0043703E">
        <w:rPr>
          <w:sz w:val="22"/>
          <w:szCs w:val="22"/>
        </w:rPr>
        <w:t>, Namık Kemal and Ziya P</w:t>
      </w:r>
      <w:r w:rsidR="009A1B85" w:rsidRPr="0043703E">
        <w:rPr>
          <w:sz w:val="22"/>
          <w:szCs w:val="22"/>
        </w:rPr>
        <w:t>a</w:t>
      </w:r>
      <w:r w:rsidRPr="0043703E">
        <w:rPr>
          <w:sz w:val="22"/>
          <w:szCs w:val="22"/>
        </w:rPr>
        <w:t>sh</w:t>
      </w:r>
      <w:r w:rsidR="009A1B85" w:rsidRPr="0043703E">
        <w:rPr>
          <w:sz w:val="22"/>
          <w:szCs w:val="22"/>
        </w:rPr>
        <w:t>a</w:t>
      </w:r>
      <w:r w:rsidRPr="0043703E">
        <w:rPr>
          <w:sz w:val="22"/>
          <w:szCs w:val="22"/>
        </w:rPr>
        <w:t>, in the 1860s and 1870s, for democracy (</w:t>
      </w:r>
      <w:proofErr w:type="gramStart"/>
      <w:r w:rsidRPr="0043703E">
        <w:rPr>
          <w:sz w:val="22"/>
          <w:szCs w:val="22"/>
        </w:rPr>
        <w:t>i.e.</w:t>
      </w:r>
      <w:proofErr w:type="gramEnd"/>
      <w:r w:rsidRPr="0043703E">
        <w:rPr>
          <w:sz w:val="22"/>
          <w:szCs w:val="22"/>
        </w:rPr>
        <w:t xml:space="preserve"> constitutional monarchy) in the Ottoman Empire coincided and converged with the reform proposals of Bahá’u’lláh and ‘Abdu’l-Bahá on these issues.</w:t>
      </w:r>
      <w:r w:rsidR="009A1B85" w:rsidRPr="0043703E">
        <w:rPr>
          <w:rStyle w:val="FootnoteReference"/>
          <w:sz w:val="22"/>
          <w:szCs w:val="22"/>
        </w:rPr>
        <w:footnoteReference w:id="41"/>
      </w:r>
    </w:p>
    <w:p w14:paraId="168A4FEB" w14:textId="77777777" w:rsidR="004165B2" w:rsidRPr="0043703E" w:rsidRDefault="006A3E81" w:rsidP="0043703E">
      <w:pPr>
        <w:pStyle w:val="Text"/>
        <w:spacing w:line="264" w:lineRule="auto"/>
        <w:rPr>
          <w:sz w:val="22"/>
          <w:szCs w:val="22"/>
        </w:rPr>
      </w:pPr>
      <w:r w:rsidRPr="0043703E">
        <w:rPr>
          <w:sz w:val="22"/>
          <w:szCs w:val="22"/>
        </w:rPr>
        <w:br w:type="page"/>
      </w:r>
      <w:r w:rsidR="004165B2" w:rsidRPr="0043703E">
        <w:rPr>
          <w:sz w:val="22"/>
          <w:szCs w:val="22"/>
        </w:rPr>
        <w:lastRenderedPageBreak/>
        <w:t xml:space="preserve">Another interesting and novel aspect mentioned by </w:t>
      </w:r>
      <w:r w:rsidR="00352817" w:rsidRPr="0043703E">
        <w:rPr>
          <w:sz w:val="22"/>
          <w:szCs w:val="22"/>
        </w:rPr>
        <w:t>Ḥ</w:t>
      </w:r>
      <w:r w:rsidR="004165B2" w:rsidRPr="0043703E">
        <w:rPr>
          <w:sz w:val="22"/>
          <w:szCs w:val="22"/>
        </w:rPr>
        <w:t>aydar ‘Al</w:t>
      </w:r>
      <w:r w:rsidR="00352817" w:rsidRPr="0043703E">
        <w:rPr>
          <w:sz w:val="22"/>
          <w:szCs w:val="22"/>
        </w:rPr>
        <w:t>í</w:t>
      </w:r>
      <w:r w:rsidR="004165B2" w:rsidRPr="0043703E">
        <w:rPr>
          <w:sz w:val="22"/>
          <w:szCs w:val="22"/>
        </w:rPr>
        <w:t xml:space="preserve"> is that Mid</w:t>
      </w:r>
      <w:r w:rsidR="00352817" w:rsidRPr="0043703E">
        <w:rPr>
          <w:sz w:val="22"/>
          <w:szCs w:val="22"/>
        </w:rPr>
        <w:t>h</w:t>
      </w:r>
      <w:r w:rsidR="004165B2" w:rsidRPr="0043703E">
        <w:rPr>
          <w:sz w:val="22"/>
          <w:szCs w:val="22"/>
        </w:rPr>
        <w:t xml:space="preserve">at had heard about ‘Abdu’l-Bahá’s utterances in Turkish, which were a proof of his immense knowledge.  ‘Abdu’l-Bahá’s pre-eminence in the Turkish language is attested by </w:t>
      </w:r>
      <w:r w:rsidR="00352817" w:rsidRPr="0043703E">
        <w:rPr>
          <w:sz w:val="22"/>
          <w:szCs w:val="22"/>
        </w:rPr>
        <w:t>Ḥ</w:t>
      </w:r>
      <w:r w:rsidR="004165B2" w:rsidRPr="0043703E">
        <w:rPr>
          <w:sz w:val="22"/>
          <w:szCs w:val="22"/>
        </w:rPr>
        <w:t>aydar ‘Al</w:t>
      </w:r>
      <w:r w:rsidR="00352817" w:rsidRPr="0043703E">
        <w:rPr>
          <w:sz w:val="22"/>
          <w:szCs w:val="22"/>
        </w:rPr>
        <w:t>í</w:t>
      </w:r>
      <w:r w:rsidR="004165B2" w:rsidRPr="0043703E">
        <w:rPr>
          <w:sz w:val="22"/>
          <w:szCs w:val="22"/>
        </w:rPr>
        <w:t xml:space="preserve"> in the paragraph</w:t>
      </w:r>
      <w:r w:rsidR="00352817" w:rsidRPr="0043703E">
        <w:rPr>
          <w:rStyle w:val="FootnoteReference"/>
          <w:sz w:val="22"/>
          <w:szCs w:val="22"/>
        </w:rPr>
        <w:footnoteReference w:id="42"/>
      </w:r>
      <w:r w:rsidR="004165B2" w:rsidRPr="0043703E">
        <w:rPr>
          <w:sz w:val="22"/>
          <w:szCs w:val="22"/>
        </w:rPr>
        <w:t xml:space="preserve"> preceding the account of </w:t>
      </w:r>
      <w:r w:rsidR="00D91AE6" w:rsidRPr="0043703E">
        <w:rPr>
          <w:sz w:val="22"/>
          <w:szCs w:val="22"/>
        </w:rPr>
        <w:t>Midhat Pasha</w:t>
      </w:r>
      <w:r w:rsidR="004165B2" w:rsidRPr="0043703E">
        <w:rPr>
          <w:sz w:val="22"/>
          <w:szCs w:val="22"/>
        </w:rPr>
        <w:t>’s visit to ‘Akká.  He says that ‘Abdu’l-Bahá’s clear and adequate replies to inquiries about spiritual matters (</w:t>
      </w:r>
      <w:r w:rsidR="004165B2" w:rsidRPr="0043703E">
        <w:rPr>
          <w:i/>
          <w:sz w:val="22"/>
          <w:szCs w:val="22"/>
        </w:rPr>
        <w:t>mas</w:t>
      </w:r>
      <w:r w:rsidR="00C601DF" w:rsidRPr="0043703E">
        <w:rPr>
          <w:i/>
          <w:sz w:val="22"/>
          <w:szCs w:val="22"/>
        </w:rPr>
        <w:t>á</w:t>
      </w:r>
      <w:r w:rsidR="004165B2" w:rsidRPr="0043703E">
        <w:rPr>
          <w:i/>
          <w:sz w:val="22"/>
          <w:szCs w:val="22"/>
        </w:rPr>
        <w:t>’il-i</w:t>
      </w:r>
      <w:r w:rsidR="00C601DF" w:rsidRPr="0043703E">
        <w:rPr>
          <w:i/>
          <w:sz w:val="22"/>
          <w:szCs w:val="22"/>
        </w:rPr>
        <w:t>-</w:t>
      </w:r>
      <w:r w:rsidR="004165B2" w:rsidRPr="0043703E">
        <w:rPr>
          <w:i/>
          <w:sz w:val="22"/>
          <w:szCs w:val="22"/>
        </w:rPr>
        <w:t>il</w:t>
      </w:r>
      <w:r w:rsidR="00C601DF" w:rsidRPr="0043703E">
        <w:rPr>
          <w:i/>
          <w:sz w:val="22"/>
          <w:szCs w:val="22"/>
        </w:rPr>
        <w:t>á</w:t>
      </w:r>
      <w:r w:rsidR="004165B2" w:rsidRPr="0043703E">
        <w:rPr>
          <w:i/>
          <w:sz w:val="22"/>
          <w:szCs w:val="22"/>
        </w:rPr>
        <w:t>hiyyih</w:t>
      </w:r>
      <w:r w:rsidR="004165B2" w:rsidRPr="0043703E">
        <w:rPr>
          <w:sz w:val="22"/>
          <w:szCs w:val="22"/>
        </w:rPr>
        <w:t>) in most eloquent Turkish (</w:t>
      </w:r>
      <w:r w:rsidR="004165B2" w:rsidRPr="0043703E">
        <w:rPr>
          <w:i/>
          <w:sz w:val="22"/>
          <w:szCs w:val="22"/>
        </w:rPr>
        <w:t>bi-zab</w:t>
      </w:r>
      <w:r w:rsidR="00C601DF" w:rsidRPr="0043703E">
        <w:rPr>
          <w:i/>
          <w:sz w:val="22"/>
          <w:szCs w:val="22"/>
        </w:rPr>
        <w:t>á</w:t>
      </w:r>
      <w:r w:rsidR="004165B2" w:rsidRPr="0043703E">
        <w:rPr>
          <w:i/>
          <w:sz w:val="22"/>
          <w:szCs w:val="22"/>
        </w:rPr>
        <w:t>n-i</w:t>
      </w:r>
      <w:r w:rsidR="00C601DF" w:rsidRPr="0043703E">
        <w:rPr>
          <w:i/>
          <w:sz w:val="22"/>
          <w:szCs w:val="22"/>
        </w:rPr>
        <w:t>-</w:t>
      </w:r>
      <w:r w:rsidR="004165B2" w:rsidRPr="0043703E">
        <w:rPr>
          <w:i/>
          <w:sz w:val="22"/>
          <w:szCs w:val="22"/>
        </w:rPr>
        <w:t>Turk</w:t>
      </w:r>
      <w:r w:rsidR="00C601DF" w:rsidRPr="0043703E">
        <w:rPr>
          <w:i/>
          <w:sz w:val="22"/>
          <w:szCs w:val="22"/>
        </w:rPr>
        <w:t>í</w:t>
      </w:r>
      <w:r w:rsidR="004165B2" w:rsidRPr="0043703E">
        <w:rPr>
          <w:i/>
          <w:sz w:val="22"/>
          <w:szCs w:val="22"/>
        </w:rPr>
        <w:t>-yi</w:t>
      </w:r>
      <w:r w:rsidR="00C601DF" w:rsidRPr="0043703E">
        <w:rPr>
          <w:i/>
          <w:sz w:val="22"/>
          <w:szCs w:val="22"/>
        </w:rPr>
        <w:t>-</w:t>
      </w:r>
      <w:r w:rsidR="004165B2" w:rsidRPr="0043703E">
        <w:rPr>
          <w:i/>
          <w:sz w:val="22"/>
          <w:szCs w:val="22"/>
        </w:rPr>
        <w:t>fa</w:t>
      </w:r>
      <w:r w:rsidR="00C601DF" w:rsidRPr="0043703E">
        <w:rPr>
          <w:i/>
          <w:sz w:val="22"/>
          <w:szCs w:val="22"/>
        </w:rPr>
        <w:t>ṣíḥ</w:t>
      </w:r>
      <w:r w:rsidR="004165B2" w:rsidRPr="0043703E">
        <w:rPr>
          <w:i/>
          <w:sz w:val="22"/>
          <w:szCs w:val="22"/>
        </w:rPr>
        <w:t>-i</w:t>
      </w:r>
      <w:r w:rsidR="00C601DF" w:rsidRPr="0043703E">
        <w:rPr>
          <w:i/>
          <w:sz w:val="22"/>
          <w:szCs w:val="22"/>
        </w:rPr>
        <w:t>-</w:t>
      </w:r>
      <w:r w:rsidR="004165B2" w:rsidRPr="0043703E">
        <w:rPr>
          <w:i/>
          <w:sz w:val="22"/>
          <w:szCs w:val="22"/>
        </w:rPr>
        <w:t>bal</w:t>
      </w:r>
      <w:r w:rsidR="00C601DF" w:rsidRPr="0043703E">
        <w:rPr>
          <w:i/>
          <w:sz w:val="22"/>
          <w:szCs w:val="22"/>
        </w:rPr>
        <w:t>í</w:t>
      </w:r>
      <w:r w:rsidR="004165B2" w:rsidRPr="0043703E">
        <w:rPr>
          <w:i/>
          <w:sz w:val="22"/>
          <w:szCs w:val="22"/>
          <w:u w:val="single"/>
        </w:rPr>
        <w:t>gh</w:t>
      </w:r>
      <w:r w:rsidR="004165B2" w:rsidRPr="0043703E">
        <w:rPr>
          <w:sz w:val="22"/>
          <w:szCs w:val="22"/>
        </w:rPr>
        <w:t>) caused the eloquent and learned men (</w:t>
      </w:r>
      <w:r w:rsidR="004165B2" w:rsidRPr="0043703E">
        <w:rPr>
          <w:i/>
          <w:sz w:val="22"/>
          <w:szCs w:val="22"/>
        </w:rPr>
        <w:t>fu</w:t>
      </w:r>
      <w:r w:rsidR="00C601DF" w:rsidRPr="0043703E">
        <w:rPr>
          <w:i/>
          <w:sz w:val="22"/>
          <w:szCs w:val="22"/>
        </w:rPr>
        <w:t>ṣ</w:t>
      </w:r>
      <w:r w:rsidR="004165B2" w:rsidRPr="0043703E">
        <w:rPr>
          <w:i/>
          <w:sz w:val="22"/>
          <w:szCs w:val="22"/>
        </w:rPr>
        <w:t>a</w:t>
      </w:r>
      <w:r w:rsidR="00C601DF" w:rsidRPr="0043703E">
        <w:rPr>
          <w:i/>
          <w:sz w:val="22"/>
          <w:szCs w:val="22"/>
        </w:rPr>
        <w:t>ḥá</w:t>
      </w:r>
      <w:r w:rsidR="004165B2" w:rsidRPr="0043703E">
        <w:rPr>
          <w:i/>
          <w:sz w:val="22"/>
          <w:szCs w:val="22"/>
        </w:rPr>
        <w:t>‚ wa bula</w:t>
      </w:r>
      <w:r w:rsidR="004165B2" w:rsidRPr="0043703E">
        <w:rPr>
          <w:i/>
          <w:sz w:val="22"/>
          <w:szCs w:val="22"/>
          <w:u w:val="single"/>
        </w:rPr>
        <w:t>gh</w:t>
      </w:r>
      <w:r w:rsidR="00C601DF" w:rsidRPr="0043703E">
        <w:rPr>
          <w:i/>
          <w:sz w:val="22"/>
          <w:szCs w:val="22"/>
        </w:rPr>
        <w:t>á</w:t>
      </w:r>
      <w:r w:rsidR="004165B2" w:rsidRPr="0043703E">
        <w:rPr>
          <w:i/>
          <w:sz w:val="22"/>
          <w:szCs w:val="22"/>
        </w:rPr>
        <w:t xml:space="preserve"> wa fu</w:t>
      </w:r>
      <w:r w:rsidR="000766FB" w:rsidRPr="0043703E">
        <w:rPr>
          <w:i/>
          <w:sz w:val="22"/>
          <w:szCs w:val="22"/>
        </w:rPr>
        <w:t>ḍ</w:t>
      </w:r>
      <w:r w:rsidR="004165B2" w:rsidRPr="0043703E">
        <w:rPr>
          <w:i/>
          <w:sz w:val="22"/>
          <w:szCs w:val="22"/>
        </w:rPr>
        <w:t>al</w:t>
      </w:r>
      <w:r w:rsidR="000766FB" w:rsidRPr="0043703E">
        <w:rPr>
          <w:i/>
          <w:sz w:val="22"/>
          <w:szCs w:val="22"/>
        </w:rPr>
        <w:t>á</w:t>
      </w:r>
      <w:r w:rsidR="004165B2" w:rsidRPr="0043703E">
        <w:rPr>
          <w:sz w:val="22"/>
          <w:szCs w:val="22"/>
        </w:rPr>
        <w:t>) of Turkistan to confess their weakness (</w:t>
      </w:r>
      <w:r w:rsidR="004165B2" w:rsidRPr="0043703E">
        <w:rPr>
          <w:i/>
          <w:sz w:val="22"/>
          <w:szCs w:val="22"/>
        </w:rPr>
        <w:t>‘ajz</w:t>
      </w:r>
      <w:r w:rsidR="004165B2" w:rsidRPr="0043703E">
        <w:rPr>
          <w:sz w:val="22"/>
          <w:szCs w:val="22"/>
        </w:rPr>
        <w:t>) and made them humble and lowly (</w:t>
      </w:r>
      <w:r w:rsidR="004165B2" w:rsidRPr="0043703E">
        <w:rPr>
          <w:i/>
          <w:sz w:val="22"/>
          <w:szCs w:val="22"/>
          <w:u w:val="single"/>
        </w:rPr>
        <w:t>kh</w:t>
      </w:r>
      <w:r w:rsidR="000766FB" w:rsidRPr="0043703E">
        <w:rPr>
          <w:i/>
          <w:sz w:val="22"/>
          <w:szCs w:val="22"/>
        </w:rPr>
        <w:t>áḍi‘</w:t>
      </w:r>
      <w:r w:rsidR="004165B2" w:rsidRPr="0043703E">
        <w:rPr>
          <w:i/>
          <w:sz w:val="22"/>
          <w:szCs w:val="22"/>
        </w:rPr>
        <w:t xml:space="preserve"> wa </w:t>
      </w:r>
      <w:r w:rsidR="004165B2" w:rsidRPr="0043703E">
        <w:rPr>
          <w:i/>
          <w:sz w:val="22"/>
          <w:szCs w:val="22"/>
          <w:u w:val="single"/>
        </w:rPr>
        <w:t>kh</w:t>
      </w:r>
      <w:r w:rsidR="000766FB" w:rsidRPr="0043703E">
        <w:rPr>
          <w:i/>
          <w:sz w:val="22"/>
          <w:szCs w:val="22"/>
        </w:rPr>
        <w:t>á</w:t>
      </w:r>
      <w:r w:rsidR="004165B2" w:rsidRPr="0043703E">
        <w:rPr>
          <w:i/>
          <w:sz w:val="22"/>
          <w:szCs w:val="22"/>
          <w:u w:val="single"/>
        </w:rPr>
        <w:t>sh</w:t>
      </w:r>
      <w:r w:rsidR="004165B2" w:rsidRPr="0043703E">
        <w:rPr>
          <w:i/>
          <w:sz w:val="22"/>
          <w:szCs w:val="22"/>
        </w:rPr>
        <w:t>i</w:t>
      </w:r>
      <w:r w:rsidR="000766FB" w:rsidRPr="0043703E">
        <w:rPr>
          <w:i/>
          <w:sz w:val="22"/>
          <w:szCs w:val="22"/>
        </w:rPr>
        <w:t>‘</w:t>
      </w:r>
      <w:r w:rsidR="004165B2" w:rsidRPr="0043703E">
        <w:rPr>
          <w:sz w:val="22"/>
          <w:szCs w:val="22"/>
        </w:rPr>
        <w:t>).</w:t>
      </w:r>
      <w:r w:rsidR="008F71C7" w:rsidRPr="0043703E">
        <w:rPr>
          <w:rStyle w:val="FootnoteReference"/>
          <w:sz w:val="22"/>
          <w:szCs w:val="22"/>
        </w:rPr>
        <w:footnoteReference w:id="43"/>
      </w:r>
      <w:r w:rsidR="000766FB" w:rsidRPr="0043703E">
        <w:rPr>
          <w:sz w:val="22"/>
          <w:szCs w:val="22"/>
        </w:rPr>
        <w:t xml:space="preserve"> </w:t>
      </w:r>
      <w:r w:rsidR="004165B2" w:rsidRPr="0043703E">
        <w:rPr>
          <w:sz w:val="22"/>
          <w:szCs w:val="22"/>
        </w:rPr>
        <w:t xml:space="preserve"> ‘Abdu’l-Bahá’s profound knowledge of Turkish was also affirmed later by Ottoman intellectuals who met him; such as:  ‘The Shaykh spoke the Turkish language very well.’</w:t>
      </w:r>
      <w:r w:rsidR="000C62FC" w:rsidRPr="0043703E">
        <w:rPr>
          <w:rStyle w:val="FootnoteReference"/>
          <w:sz w:val="22"/>
          <w:szCs w:val="22"/>
        </w:rPr>
        <w:footnoteReference w:id="44"/>
      </w:r>
      <w:r w:rsidR="004165B2" w:rsidRPr="0043703E">
        <w:rPr>
          <w:sz w:val="22"/>
          <w:szCs w:val="22"/>
        </w:rPr>
        <w:t xml:space="preserve"> </w:t>
      </w:r>
      <w:r w:rsidR="000C62FC" w:rsidRPr="0043703E">
        <w:rPr>
          <w:sz w:val="22"/>
          <w:szCs w:val="22"/>
        </w:rPr>
        <w:t xml:space="preserve"> </w:t>
      </w:r>
      <w:r w:rsidR="004165B2" w:rsidRPr="0043703E">
        <w:rPr>
          <w:sz w:val="22"/>
          <w:szCs w:val="22"/>
        </w:rPr>
        <w:t>Another observer remarks:  ‘‘Abbas Effendi’s firm grasp and proficiency in each of the Arabic, Turkish and Persian languages is indeed astonishing.  In all three languages he is capable in prose and poetry like a native speaker.’</w:t>
      </w:r>
      <w:r w:rsidR="000C7B1D" w:rsidRPr="0043703E">
        <w:rPr>
          <w:rStyle w:val="FootnoteReference"/>
          <w:sz w:val="22"/>
          <w:szCs w:val="22"/>
        </w:rPr>
        <w:footnoteReference w:id="45"/>
      </w:r>
    </w:p>
    <w:p w14:paraId="5328B885" w14:textId="77777777" w:rsidR="004165B2" w:rsidRPr="0043703E" w:rsidRDefault="004165B2" w:rsidP="0043703E">
      <w:pPr>
        <w:pStyle w:val="Text"/>
        <w:spacing w:line="264" w:lineRule="auto"/>
        <w:rPr>
          <w:sz w:val="22"/>
          <w:szCs w:val="22"/>
        </w:rPr>
      </w:pPr>
      <w:r w:rsidRPr="0043703E">
        <w:rPr>
          <w:sz w:val="22"/>
          <w:szCs w:val="22"/>
        </w:rPr>
        <w:t>The account of M</w:t>
      </w:r>
      <w:r w:rsidR="00500F95" w:rsidRPr="0043703E">
        <w:rPr>
          <w:sz w:val="22"/>
          <w:szCs w:val="22"/>
        </w:rPr>
        <w:t>í</w:t>
      </w:r>
      <w:r w:rsidRPr="0043703E">
        <w:rPr>
          <w:sz w:val="22"/>
          <w:szCs w:val="22"/>
        </w:rPr>
        <w:t>rz</w:t>
      </w:r>
      <w:r w:rsidR="00500F95" w:rsidRPr="0043703E">
        <w:rPr>
          <w:sz w:val="22"/>
          <w:szCs w:val="22"/>
        </w:rPr>
        <w:t>á</w:t>
      </w:r>
      <w:r w:rsidRPr="0043703E">
        <w:rPr>
          <w:sz w:val="22"/>
          <w:szCs w:val="22"/>
        </w:rPr>
        <w:t xml:space="preserve"> </w:t>
      </w:r>
      <w:r w:rsidR="00500F95" w:rsidRPr="0043703E">
        <w:rPr>
          <w:sz w:val="22"/>
          <w:szCs w:val="22"/>
        </w:rPr>
        <w:t>Ḥ</w:t>
      </w:r>
      <w:r w:rsidRPr="0043703E">
        <w:rPr>
          <w:sz w:val="22"/>
          <w:szCs w:val="22"/>
        </w:rPr>
        <w:t>aydar ‘Al</w:t>
      </w:r>
      <w:r w:rsidR="00500F95" w:rsidRPr="0043703E">
        <w:rPr>
          <w:sz w:val="22"/>
          <w:szCs w:val="22"/>
        </w:rPr>
        <w:t>í</w:t>
      </w:r>
      <w:r w:rsidRPr="0043703E">
        <w:rPr>
          <w:sz w:val="22"/>
          <w:szCs w:val="22"/>
        </w:rPr>
        <w:t xml:space="preserve"> further points out that Mid</w:t>
      </w:r>
      <w:r w:rsidR="00500F95" w:rsidRPr="0043703E">
        <w:rPr>
          <w:sz w:val="22"/>
          <w:szCs w:val="22"/>
        </w:rPr>
        <w:t>h</w:t>
      </w:r>
      <w:r w:rsidRPr="0043703E">
        <w:rPr>
          <w:sz w:val="22"/>
          <w:szCs w:val="22"/>
        </w:rPr>
        <w:t>at had pressed for a meeting with ‘Abdu’l-Bahá which the latter accepted, and that the p</w:t>
      </w:r>
      <w:r w:rsidR="00500F95" w:rsidRPr="0043703E">
        <w:rPr>
          <w:sz w:val="22"/>
          <w:szCs w:val="22"/>
        </w:rPr>
        <w:t>a</w:t>
      </w:r>
      <w:r w:rsidRPr="0043703E">
        <w:rPr>
          <w:sz w:val="22"/>
          <w:szCs w:val="22"/>
        </w:rPr>
        <w:t>sh</w:t>
      </w:r>
      <w:r w:rsidR="00500F95" w:rsidRPr="0043703E">
        <w:rPr>
          <w:sz w:val="22"/>
          <w:szCs w:val="22"/>
        </w:rPr>
        <w:t>a</w:t>
      </w:r>
      <w:r w:rsidRPr="0043703E">
        <w:rPr>
          <w:sz w:val="22"/>
          <w:szCs w:val="22"/>
        </w:rPr>
        <w:t xml:space="preserve"> paid a return visit to ‘Abdu’l-Bahá in ‘Akká.  During his days with ‘Abdu’l-Bahá, Mid</w:t>
      </w:r>
      <w:r w:rsidR="00500F95" w:rsidRPr="0043703E">
        <w:rPr>
          <w:sz w:val="22"/>
          <w:szCs w:val="22"/>
        </w:rPr>
        <w:t>h</w:t>
      </w:r>
      <w:r w:rsidRPr="0043703E">
        <w:rPr>
          <w:sz w:val="22"/>
          <w:szCs w:val="22"/>
        </w:rPr>
        <w:t xml:space="preserve">at is portrayed as having been delighted and meek in the presence of ‘Abdu’l-Bahá.  Before returning to Beirut, the </w:t>
      </w:r>
      <w:r w:rsidRPr="0043703E">
        <w:rPr>
          <w:i/>
          <w:sz w:val="22"/>
          <w:szCs w:val="22"/>
        </w:rPr>
        <w:t>vâli</w:t>
      </w:r>
      <w:r w:rsidRPr="0043703E">
        <w:rPr>
          <w:sz w:val="22"/>
          <w:szCs w:val="22"/>
        </w:rPr>
        <w:t xml:space="preserve"> invited ‘Abdu’l-Bahá to Beirut, but he declined.  Mid</w:t>
      </w:r>
      <w:r w:rsidR="00500F95" w:rsidRPr="0043703E">
        <w:rPr>
          <w:sz w:val="22"/>
          <w:szCs w:val="22"/>
        </w:rPr>
        <w:t>h</w:t>
      </w:r>
      <w:r w:rsidRPr="0043703E">
        <w:rPr>
          <w:sz w:val="22"/>
          <w:szCs w:val="22"/>
        </w:rPr>
        <w:t xml:space="preserve">at afterwards wrote to ‘Abdu’l-Bahá from Beirut and communicated, in a couplet, his desire to meet him.  </w:t>
      </w:r>
      <w:r w:rsidR="00500F95" w:rsidRPr="0043703E">
        <w:rPr>
          <w:sz w:val="22"/>
          <w:szCs w:val="22"/>
        </w:rPr>
        <w:t>Ḥ</w:t>
      </w:r>
      <w:r w:rsidRPr="0043703E">
        <w:rPr>
          <w:sz w:val="22"/>
          <w:szCs w:val="22"/>
        </w:rPr>
        <w:t>aydar ‘Al</w:t>
      </w:r>
      <w:r w:rsidR="00500F95" w:rsidRPr="0043703E">
        <w:rPr>
          <w:sz w:val="22"/>
          <w:szCs w:val="22"/>
        </w:rPr>
        <w:t>í</w:t>
      </w:r>
      <w:r w:rsidRPr="0043703E">
        <w:rPr>
          <w:sz w:val="22"/>
          <w:szCs w:val="22"/>
        </w:rPr>
        <w:t xml:space="preserve"> notes that Bahá’u’lláh thereupon ordered his son to honour Beirut with his visit.  Following ‘Abdu’l-Bahá’s departure, Bahá’u’lláh revealed the Tablet of the Land of B</w:t>
      </w:r>
      <w:r w:rsidR="00500F95" w:rsidRPr="0043703E">
        <w:rPr>
          <w:sz w:val="22"/>
          <w:szCs w:val="22"/>
        </w:rPr>
        <w:t>á</w:t>
      </w:r>
      <w:r w:rsidRPr="0043703E">
        <w:rPr>
          <w:sz w:val="22"/>
          <w:szCs w:val="22"/>
        </w:rPr>
        <w:t xml:space="preserve">, which </w:t>
      </w:r>
      <w:r w:rsidR="00500F95" w:rsidRPr="0043703E">
        <w:rPr>
          <w:sz w:val="22"/>
          <w:szCs w:val="22"/>
        </w:rPr>
        <w:t>Ḥ</w:t>
      </w:r>
      <w:r w:rsidRPr="0043703E">
        <w:rPr>
          <w:sz w:val="22"/>
          <w:szCs w:val="22"/>
        </w:rPr>
        <w:t>aydar ‘Al</w:t>
      </w:r>
      <w:r w:rsidR="00500F95" w:rsidRPr="0043703E">
        <w:rPr>
          <w:sz w:val="22"/>
          <w:szCs w:val="22"/>
        </w:rPr>
        <w:t>í</w:t>
      </w:r>
      <w:r w:rsidRPr="0043703E">
        <w:rPr>
          <w:sz w:val="22"/>
          <w:szCs w:val="22"/>
        </w:rPr>
        <w:t xml:space="preserve"> quotes.</w:t>
      </w:r>
    </w:p>
    <w:p w14:paraId="5C3BB176" w14:textId="77777777" w:rsidR="004165B2" w:rsidRPr="0043703E" w:rsidRDefault="004165B2" w:rsidP="0043703E">
      <w:pPr>
        <w:pStyle w:val="Text"/>
        <w:spacing w:line="264" w:lineRule="auto"/>
        <w:rPr>
          <w:sz w:val="22"/>
          <w:szCs w:val="22"/>
        </w:rPr>
      </w:pPr>
      <w:r w:rsidRPr="0043703E">
        <w:rPr>
          <w:sz w:val="22"/>
          <w:szCs w:val="22"/>
        </w:rPr>
        <w:t>M</w:t>
      </w:r>
      <w:r w:rsidR="00500F95" w:rsidRPr="0043703E">
        <w:rPr>
          <w:sz w:val="22"/>
          <w:szCs w:val="22"/>
        </w:rPr>
        <w:t>í</w:t>
      </w:r>
      <w:r w:rsidRPr="0043703E">
        <w:rPr>
          <w:sz w:val="22"/>
          <w:szCs w:val="22"/>
        </w:rPr>
        <w:t>rz</w:t>
      </w:r>
      <w:r w:rsidR="00500F95" w:rsidRPr="0043703E">
        <w:rPr>
          <w:sz w:val="22"/>
          <w:szCs w:val="22"/>
        </w:rPr>
        <w:t>á</w:t>
      </w:r>
      <w:r w:rsidRPr="0043703E">
        <w:rPr>
          <w:sz w:val="22"/>
          <w:szCs w:val="22"/>
        </w:rPr>
        <w:t xml:space="preserve"> </w:t>
      </w:r>
      <w:r w:rsidR="00500F95" w:rsidRPr="0043703E">
        <w:rPr>
          <w:sz w:val="22"/>
          <w:szCs w:val="22"/>
        </w:rPr>
        <w:t>Ḥ</w:t>
      </w:r>
      <w:r w:rsidRPr="0043703E">
        <w:rPr>
          <w:sz w:val="22"/>
          <w:szCs w:val="22"/>
        </w:rPr>
        <w:t>aydar ‘Al</w:t>
      </w:r>
      <w:r w:rsidR="00500F95" w:rsidRPr="0043703E">
        <w:rPr>
          <w:sz w:val="22"/>
          <w:szCs w:val="22"/>
        </w:rPr>
        <w:t>í</w:t>
      </w:r>
      <w:r w:rsidRPr="0043703E">
        <w:rPr>
          <w:sz w:val="22"/>
          <w:szCs w:val="22"/>
        </w:rPr>
        <w:t xml:space="preserve">’s account ends by stating that </w:t>
      </w:r>
      <w:r w:rsidR="00D91AE6" w:rsidRPr="0043703E">
        <w:rPr>
          <w:sz w:val="22"/>
          <w:szCs w:val="22"/>
        </w:rPr>
        <w:t>Midhat Pasha</w:t>
      </w:r>
      <w:r w:rsidRPr="0043703E">
        <w:rPr>
          <w:sz w:val="22"/>
          <w:szCs w:val="22"/>
        </w:rPr>
        <w:t xml:space="preserve"> was responsible for the release of Bahá’u’lláh from imprisonment in ‘Akká.  On this issue Shoghi Effendi remarks that it was ‘Abdu’l-Bahá who ‘had been chiefly instrumental in providing the necessary means for Bahá’u’lláh’s release from His nine-year confinement within the city walls of ‘Akká, and in enabling Him to enjoy, in the evening of His life, a measure of that peace and security from which He had so long been debarred’.</w:t>
      </w:r>
      <w:r w:rsidR="00500F95" w:rsidRPr="0043703E">
        <w:rPr>
          <w:rStyle w:val="FootnoteReference"/>
          <w:sz w:val="22"/>
          <w:szCs w:val="22"/>
        </w:rPr>
        <w:footnoteReference w:id="46"/>
      </w:r>
      <w:r w:rsidR="00500F95" w:rsidRPr="0043703E">
        <w:rPr>
          <w:sz w:val="22"/>
          <w:szCs w:val="22"/>
        </w:rPr>
        <w:t xml:space="preserve"> </w:t>
      </w:r>
      <w:r w:rsidRPr="0043703E">
        <w:rPr>
          <w:sz w:val="22"/>
          <w:szCs w:val="22"/>
        </w:rPr>
        <w:t xml:space="preserve"> In the </w:t>
      </w:r>
      <w:r w:rsidRPr="0043703E">
        <w:rPr>
          <w:i/>
          <w:sz w:val="22"/>
          <w:szCs w:val="22"/>
        </w:rPr>
        <w:t>Law</w:t>
      </w:r>
      <w:r w:rsidR="00A6035C" w:rsidRPr="0043703E">
        <w:rPr>
          <w:i/>
          <w:sz w:val="22"/>
          <w:szCs w:val="22"/>
        </w:rPr>
        <w:t>ḥ</w:t>
      </w:r>
      <w:r w:rsidRPr="0043703E">
        <w:rPr>
          <w:i/>
          <w:sz w:val="22"/>
          <w:szCs w:val="22"/>
        </w:rPr>
        <w:t>-i</w:t>
      </w:r>
      <w:r w:rsidR="00A6035C" w:rsidRPr="0043703E">
        <w:rPr>
          <w:i/>
          <w:sz w:val="22"/>
          <w:szCs w:val="22"/>
        </w:rPr>
        <w:t>-</w:t>
      </w:r>
      <w:r w:rsidRPr="0043703E">
        <w:rPr>
          <w:i/>
          <w:sz w:val="22"/>
          <w:szCs w:val="22"/>
        </w:rPr>
        <w:t>Ar</w:t>
      </w:r>
      <w:r w:rsidR="00A6035C" w:rsidRPr="0043703E">
        <w:rPr>
          <w:i/>
          <w:sz w:val="22"/>
          <w:szCs w:val="22"/>
        </w:rPr>
        <w:t>ḍ</w:t>
      </w:r>
      <w:r w:rsidRPr="0043703E">
        <w:rPr>
          <w:i/>
          <w:sz w:val="22"/>
          <w:szCs w:val="22"/>
        </w:rPr>
        <w:t>-i</w:t>
      </w:r>
      <w:r w:rsidR="00A6035C" w:rsidRPr="0043703E">
        <w:rPr>
          <w:i/>
          <w:sz w:val="22"/>
          <w:szCs w:val="22"/>
        </w:rPr>
        <w:t>-</w:t>
      </w:r>
      <w:r w:rsidRPr="0043703E">
        <w:rPr>
          <w:i/>
          <w:sz w:val="22"/>
          <w:szCs w:val="22"/>
        </w:rPr>
        <w:t>B</w:t>
      </w:r>
      <w:r w:rsidR="00A6035C" w:rsidRPr="0043703E">
        <w:rPr>
          <w:i/>
          <w:sz w:val="22"/>
          <w:szCs w:val="22"/>
        </w:rPr>
        <w:t>á</w:t>
      </w:r>
      <w:r w:rsidRPr="0043703E">
        <w:rPr>
          <w:sz w:val="22"/>
          <w:szCs w:val="22"/>
        </w:rPr>
        <w:t xml:space="preserve"> of June 1880, Bahá’u’lláh mentions that ‘the doors of the prison were opened’.  The meeting between </w:t>
      </w:r>
      <w:r w:rsidR="00D91AE6" w:rsidRPr="0043703E">
        <w:rPr>
          <w:sz w:val="22"/>
          <w:szCs w:val="22"/>
        </w:rPr>
        <w:t>Midhat Pasha</w:t>
      </w:r>
      <w:r w:rsidRPr="0043703E">
        <w:rPr>
          <w:sz w:val="22"/>
          <w:szCs w:val="22"/>
        </w:rPr>
        <w:t xml:space="preserve"> and ‘Abdu’l-Bahá took place slightly more than nine years after Bahá’u’lláh’s arrival in ‘Akká; it is not clear when Mid</w:t>
      </w:r>
      <w:r w:rsidR="00C43B80" w:rsidRPr="0043703E">
        <w:rPr>
          <w:sz w:val="22"/>
          <w:szCs w:val="22"/>
        </w:rPr>
        <w:t>h</w:t>
      </w:r>
      <w:r w:rsidRPr="0043703E">
        <w:rPr>
          <w:sz w:val="22"/>
          <w:szCs w:val="22"/>
        </w:rPr>
        <w:t>at communicated his suggestion regarding the release of Bahá’u’lláh, if indeed he ever made such a suggestion.</w:t>
      </w:r>
    </w:p>
    <w:p w14:paraId="7913F253" w14:textId="626154DC" w:rsidR="004165B2" w:rsidRDefault="006A3E81" w:rsidP="0043703E">
      <w:pPr>
        <w:pStyle w:val="Text"/>
        <w:spacing w:line="264" w:lineRule="auto"/>
        <w:rPr>
          <w:sz w:val="22"/>
          <w:szCs w:val="22"/>
        </w:rPr>
      </w:pPr>
      <w:r w:rsidRPr="0043703E">
        <w:rPr>
          <w:sz w:val="22"/>
          <w:szCs w:val="22"/>
        </w:rPr>
        <w:br w:type="page"/>
      </w:r>
      <w:r w:rsidR="004165B2" w:rsidRPr="0043703E">
        <w:rPr>
          <w:sz w:val="22"/>
          <w:szCs w:val="22"/>
        </w:rPr>
        <w:lastRenderedPageBreak/>
        <w:t>In conclusion, M</w:t>
      </w:r>
      <w:r w:rsidR="00C43B80" w:rsidRPr="0043703E">
        <w:rPr>
          <w:sz w:val="22"/>
          <w:szCs w:val="22"/>
        </w:rPr>
        <w:t>í</w:t>
      </w:r>
      <w:r w:rsidR="004165B2" w:rsidRPr="0043703E">
        <w:rPr>
          <w:sz w:val="22"/>
          <w:szCs w:val="22"/>
        </w:rPr>
        <w:t>rz</w:t>
      </w:r>
      <w:r w:rsidR="00C43B80" w:rsidRPr="0043703E">
        <w:rPr>
          <w:sz w:val="22"/>
          <w:szCs w:val="22"/>
        </w:rPr>
        <w:t>á</w:t>
      </w:r>
      <w:r w:rsidR="004165B2" w:rsidRPr="0043703E">
        <w:rPr>
          <w:sz w:val="22"/>
          <w:szCs w:val="22"/>
        </w:rPr>
        <w:t xml:space="preserve"> </w:t>
      </w:r>
      <w:r w:rsidR="00C43B80" w:rsidRPr="0043703E">
        <w:rPr>
          <w:sz w:val="22"/>
          <w:szCs w:val="22"/>
        </w:rPr>
        <w:t>Ḥ</w:t>
      </w:r>
      <w:r w:rsidR="004165B2" w:rsidRPr="0043703E">
        <w:rPr>
          <w:sz w:val="22"/>
          <w:szCs w:val="22"/>
        </w:rPr>
        <w:t>aydar ‘Al</w:t>
      </w:r>
      <w:r w:rsidR="00C43B80" w:rsidRPr="0043703E">
        <w:rPr>
          <w:sz w:val="22"/>
          <w:szCs w:val="22"/>
        </w:rPr>
        <w:t>í</w:t>
      </w:r>
      <w:r w:rsidR="004165B2" w:rsidRPr="0043703E">
        <w:rPr>
          <w:sz w:val="22"/>
          <w:szCs w:val="22"/>
        </w:rPr>
        <w:t xml:space="preserve">’s account presents the ‘Akká meeting between these two illustrious figures of the late 19th century Middle East as the prelude to the Beirut visit and the revelation of Bahá’u’lláh’s </w:t>
      </w:r>
      <w:r w:rsidR="00A6035C" w:rsidRPr="0043703E">
        <w:rPr>
          <w:i/>
          <w:sz w:val="22"/>
          <w:szCs w:val="22"/>
        </w:rPr>
        <w:t>Lawḥ-i-Arḍ-i-Bá</w:t>
      </w:r>
      <w:r w:rsidR="004165B2" w:rsidRPr="0043703E">
        <w:rPr>
          <w:sz w:val="22"/>
          <w:szCs w:val="22"/>
        </w:rPr>
        <w:t>.  We may surmise that Mid</w:t>
      </w:r>
      <w:r w:rsidR="00C43B80" w:rsidRPr="0043703E">
        <w:rPr>
          <w:sz w:val="22"/>
          <w:szCs w:val="22"/>
        </w:rPr>
        <w:t>h</w:t>
      </w:r>
      <w:r w:rsidR="004165B2" w:rsidRPr="0043703E">
        <w:rPr>
          <w:sz w:val="22"/>
          <w:szCs w:val="22"/>
        </w:rPr>
        <w:t xml:space="preserve">at also met Bahá’u’lláh during this visit to ‘Akká.  More sources, Bahá’í and non-Bahá’í, are needed to ascertain this and the details of what passed between ‘Abdu’l-Bahá and </w:t>
      </w:r>
      <w:r w:rsidR="00D91AE6" w:rsidRPr="0043703E">
        <w:rPr>
          <w:sz w:val="22"/>
          <w:szCs w:val="22"/>
        </w:rPr>
        <w:t>Midhat Pasha</w:t>
      </w:r>
      <w:r w:rsidR="004165B2" w:rsidRPr="0043703E">
        <w:rPr>
          <w:sz w:val="22"/>
          <w:szCs w:val="22"/>
        </w:rPr>
        <w:t xml:space="preserve"> during their meetings.</w:t>
      </w:r>
    </w:p>
    <w:p w14:paraId="4B0162CC" w14:textId="77777777" w:rsidR="009F696C" w:rsidRPr="0043703E" w:rsidRDefault="009F696C" w:rsidP="0043703E">
      <w:pPr>
        <w:pStyle w:val="Text"/>
        <w:spacing w:line="264" w:lineRule="auto"/>
        <w:rPr>
          <w:sz w:val="22"/>
          <w:szCs w:val="22"/>
        </w:rPr>
      </w:pPr>
    </w:p>
    <w:p w14:paraId="0D446107" w14:textId="77777777" w:rsidR="004165B2" w:rsidRPr="0043703E" w:rsidRDefault="004165B2" w:rsidP="0043703E">
      <w:pPr>
        <w:pStyle w:val="Myhead"/>
        <w:spacing w:line="264" w:lineRule="auto"/>
        <w:rPr>
          <w:sz w:val="22"/>
          <w:szCs w:val="22"/>
        </w:rPr>
      </w:pPr>
      <w:r w:rsidRPr="0043703E">
        <w:rPr>
          <w:sz w:val="22"/>
          <w:szCs w:val="22"/>
        </w:rPr>
        <w:t>Annotated translation of M</w:t>
      </w:r>
      <w:r w:rsidR="00C43B80" w:rsidRPr="0043703E">
        <w:rPr>
          <w:sz w:val="22"/>
          <w:szCs w:val="22"/>
        </w:rPr>
        <w:t>í</w:t>
      </w:r>
      <w:r w:rsidRPr="0043703E">
        <w:rPr>
          <w:sz w:val="22"/>
          <w:szCs w:val="22"/>
        </w:rPr>
        <w:t>rz</w:t>
      </w:r>
      <w:r w:rsidR="00C43B80" w:rsidRPr="0043703E">
        <w:rPr>
          <w:sz w:val="22"/>
          <w:szCs w:val="22"/>
        </w:rPr>
        <w:t>á</w:t>
      </w:r>
      <w:r w:rsidRPr="0043703E">
        <w:rPr>
          <w:sz w:val="22"/>
          <w:szCs w:val="22"/>
        </w:rPr>
        <w:t xml:space="preserve"> </w:t>
      </w:r>
      <w:r w:rsidR="00C43B80" w:rsidRPr="0043703E">
        <w:rPr>
          <w:sz w:val="22"/>
          <w:szCs w:val="22"/>
        </w:rPr>
        <w:t>Ḥ</w:t>
      </w:r>
      <w:r w:rsidRPr="0043703E">
        <w:rPr>
          <w:sz w:val="22"/>
          <w:szCs w:val="22"/>
        </w:rPr>
        <w:t>aydar ‘Al</w:t>
      </w:r>
      <w:r w:rsidR="00C43B80" w:rsidRPr="0043703E">
        <w:rPr>
          <w:sz w:val="22"/>
          <w:szCs w:val="22"/>
        </w:rPr>
        <w:t>í</w:t>
      </w:r>
      <w:r w:rsidRPr="0043703E">
        <w:rPr>
          <w:sz w:val="22"/>
          <w:szCs w:val="22"/>
        </w:rPr>
        <w:t>’s account</w:t>
      </w:r>
      <w:r w:rsidR="00C43B80" w:rsidRPr="0043703E">
        <w:rPr>
          <w:rStyle w:val="FootnoteReference"/>
          <w:sz w:val="22"/>
          <w:szCs w:val="22"/>
        </w:rPr>
        <w:footnoteReference w:id="47"/>
      </w:r>
    </w:p>
    <w:p w14:paraId="134AFB39" w14:textId="77777777" w:rsidR="004165B2" w:rsidRPr="0043703E" w:rsidRDefault="004165B2" w:rsidP="0043703E">
      <w:pPr>
        <w:pStyle w:val="Text"/>
        <w:spacing w:line="264" w:lineRule="auto"/>
        <w:rPr>
          <w:sz w:val="22"/>
          <w:szCs w:val="22"/>
        </w:rPr>
      </w:pPr>
      <w:r w:rsidRPr="0043703E">
        <w:rPr>
          <w:sz w:val="22"/>
          <w:szCs w:val="22"/>
        </w:rPr>
        <w:t xml:space="preserve">The late </w:t>
      </w:r>
      <w:r w:rsidR="00D91AE6" w:rsidRPr="0043703E">
        <w:rPr>
          <w:sz w:val="22"/>
          <w:szCs w:val="22"/>
        </w:rPr>
        <w:t>Midhat Pasha</w:t>
      </w:r>
      <w:r w:rsidRPr="0043703E">
        <w:rPr>
          <w:sz w:val="22"/>
          <w:szCs w:val="22"/>
        </w:rPr>
        <w:t>, prime minister and the founder of democracy (</w:t>
      </w:r>
      <w:r w:rsidRPr="0043703E">
        <w:rPr>
          <w:i/>
          <w:sz w:val="22"/>
          <w:szCs w:val="22"/>
        </w:rPr>
        <w:t>mu’assis-i</w:t>
      </w:r>
      <w:r w:rsidR="00771EE4" w:rsidRPr="0043703E">
        <w:rPr>
          <w:i/>
          <w:sz w:val="22"/>
          <w:szCs w:val="22"/>
        </w:rPr>
        <w:t>-</w:t>
      </w:r>
      <w:r w:rsidRPr="0043703E">
        <w:rPr>
          <w:i/>
          <w:sz w:val="22"/>
          <w:szCs w:val="22"/>
        </w:rPr>
        <w:t>jumh</w:t>
      </w:r>
      <w:r w:rsidR="00261597" w:rsidRPr="0043703E">
        <w:rPr>
          <w:i/>
          <w:sz w:val="22"/>
          <w:szCs w:val="22"/>
        </w:rPr>
        <w:t>ú</w:t>
      </w:r>
      <w:r w:rsidRPr="0043703E">
        <w:rPr>
          <w:i/>
          <w:sz w:val="22"/>
          <w:szCs w:val="22"/>
        </w:rPr>
        <w:t>r</w:t>
      </w:r>
      <w:r w:rsidRPr="0043703E">
        <w:rPr>
          <w:sz w:val="22"/>
          <w:szCs w:val="22"/>
        </w:rPr>
        <w:t>) in the Ottoman Empire, was the cause of the removal and annihilation (</w:t>
      </w:r>
      <w:r w:rsidRPr="0043703E">
        <w:rPr>
          <w:i/>
          <w:sz w:val="22"/>
          <w:szCs w:val="22"/>
        </w:rPr>
        <w:t>‘azl wa ma</w:t>
      </w:r>
      <w:r w:rsidR="007557EE" w:rsidRPr="0043703E">
        <w:rPr>
          <w:i/>
          <w:sz w:val="22"/>
          <w:szCs w:val="22"/>
        </w:rPr>
        <w:t>ḥ</w:t>
      </w:r>
      <w:r w:rsidRPr="0043703E">
        <w:rPr>
          <w:i/>
          <w:sz w:val="22"/>
          <w:szCs w:val="22"/>
        </w:rPr>
        <w:t>w</w:t>
      </w:r>
      <w:r w:rsidRPr="0043703E">
        <w:rPr>
          <w:sz w:val="22"/>
          <w:szCs w:val="22"/>
        </w:rPr>
        <w:t xml:space="preserve">) of his Excellency, the late Sultan Abdülaziz Khan that was foretold in the </w:t>
      </w:r>
      <w:r w:rsidRPr="0043703E">
        <w:rPr>
          <w:i/>
          <w:sz w:val="22"/>
          <w:szCs w:val="22"/>
        </w:rPr>
        <w:t>Law</w:t>
      </w:r>
      <w:r w:rsidR="007557EE" w:rsidRPr="0043703E">
        <w:rPr>
          <w:i/>
          <w:sz w:val="22"/>
          <w:szCs w:val="22"/>
        </w:rPr>
        <w:t>ḥ</w:t>
      </w:r>
      <w:r w:rsidRPr="0043703E">
        <w:rPr>
          <w:i/>
          <w:sz w:val="22"/>
          <w:szCs w:val="22"/>
        </w:rPr>
        <w:t>-i</w:t>
      </w:r>
      <w:r w:rsidR="007557EE" w:rsidRPr="0043703E">
        <w:rPr>
          <w:i/>
          <w:sz w:val="22"/>
          <w:szCs w:val="22"/>
        </w:rPr>
        <w:t>-</w:t>
      </w:r>
      <w:r w:rsidRPr="0043703E">
        <w:rPr>
          <w:i/>
          <w:sz w:val="22"/>
          <w:szCs w:val="22"/>
        </w:rPr>
        <w:t>Ra’</w:t>
      </w:r>
      <w:r w:rsidR="007557EE" w:rsidRPr="0043703E">
        <w:rPr>
          <w:i/>
          <w:sz w:val="22"/>
          <w:szCs w:val="22"/>
        </w:rPr>
        <w:t>í</w:t>
      </w:r>
      <w:r w:rsidRPr="0043703E">
        <w:rPr>
          <w:i/>
          <w:sz w:val="22"/>
          <w:szCs w:val="22"/>
        </w:rPr>
        <w:t>s</w:t>
      </w:r>
      <w:r w:rsidRPr="0043703E">
        <w:rPr>
          <w:sz w:val="22"/>
          <w:szCs w:val="22"/>
        </w:rPr>
        <w:t>.  The Lord</w:t>
      </w:r>
      <w:r w:rsidR="007557EE" w:rsidRPr="0043703E">
        <w:rPr>
          <w:sz w:val="22"/>
          <w:szCs w:val="22"/>
        </w:rPr>
        <w:t>—</w:t>
      </w:r>
      <w:r w:rsidRPr="0043703E">
        <w:rPr>
          <w:sz w:val="22"/>
          <w:szCs w:val="22"/>
        </w:rPr>
        <w:t>glorified is He</w:t>
      </w:r>
      <w:r w:rsidR="007557EE" w:rsidRPr="0043703E">
        <w:rPr>
          <w:sz w:val="22"/>
          <w:szCs w:val="22"/>
        </w:rPr>
        <w:t>—</w:t>
      </w:r>
      <w:r w:rsidRPr="0043703E">
        <w:rPr>
          <w:sz w:val="22"/>
          <w:szCs w:val="22"/>
        </w:rPr>
        <w:t>says</w:t>
      </w:r>
      <w:proofErr w:type="gramStart"/>
      <w:r w:rsidRPr="0043703E">
        <w:rPr>
          <w:sz w:val="22"/>
          <w:szCs w:val="22"/>
        </w:rPr>
        <w:t>:  ‘</w:t>
      </w:r>
      <w:proofErr w:type="gramEnd"/>
      <w:r w:rsidRPr="0043703E">
        <w:rPr>
          <w:sz w:val="22"/>
          <w:szCs w:val="22"/>
        </w:rPr>
        <w:t>Hast thou imagined thyself capable of extinguishing the fire which God hath kindled in the heart of creation?</w:t>
      </w:r>
      <w:r w:rsidR="007557EE" w:rsidRPr="0043703E">
        <w:rPr>
          <w:sz w:val="22"/>
          <w:szCs w:val="22"/>
        </w:rPr>
        <w:t xml:space="preserve"> </w:t>
      </w:r>
      <w:r w:rsidRPr="0043703E">
        <w:rPr>
          <w:sz w:val="22"/>
          <w:szCs w:val="22"/>
        </w:rPr>
        <w:t xml:space="preserve"> Nay, by Him Who is the Eternal Truth, couldst thou but know it.  Rather, on account of what thy hands have wrought, it blazed higher and burned more fiercely.  Erelong will it encompass the earth and all that dwell therein.  </w:t>
      </w:r>
      <w:proofErr w:type="gramStart"/>
      <w:r w:rsidRPr="0043703E">
        <w:rPr>
          <w:sz w:val="22"/>
          <w:szCs w:val="22"/>
        </w:rPr>
        <w:t>Thus</w:t>
      </w:r>
      <w:proofErr w:type="gramEnd"/>
      <w:r w:rsidRPr="0043703E">
        <w:rPr>
          <w:sz w:val="22"/>
          <w:szCs w:val="22"/>
        </w:rPr>
        <w:t xml:space="preserve"> hath it been decreed by God, and the powers</w:t>
      </w:r>
      <w:r w:rsidR="00033DC6" w:rsidRPr="0043703E">
        <w:rPr>
          <w:rStyle w:val="FootnoteReference"/>
          <w:sz w:val="22"/>
          <w:szCs w:val="22"/>
        </w:rPr>
        <w:footnoteReference w:id="48"/>
      </w:r>
      <w:r w:rsidRPr="0043703E">
        <w:rPr>
          <w:sz w:val="22"/>
          <w:szCs w:val="22"/>
        </w:rPr>
        <w:t xml:space="preserve"> of earth and heaven are unable to thwart His purpose.  The day is approaching when the Land of Mystery [Edirne] and what is beside it</w:t>
      </w:r>
      <w:r w:rsidR="00B11D1B" w:rsidRPr="0043703E">
        <w:rPr>
          <w:rStyle w:val="FootnoteReference"/>
          <w:sz w:val="22"/>
          <w:szCs w:val="22"/>
        </w:rPr>
        <w:footnoteReference w:id="49"/>
      </w:r>
      <w:r w:rsidRPr="0043703E">
        <w:rPr>
          <w:sz w:val="22"/>
          <w:szCs w:val="22"/>
        </w:rPr>
        <w:t xml:space="preserve"> shall be </w:t>
      </w:r>
      <w:proofErr w:type="gramStart"/>
      <w:r w:rsidRPr="0043703E">
        <w:rPr>
          <w:sz w:val="22"/>
          <w:szCs w:val="22"/>
        </w:rPr>
        <w:t>changed, and</w:t>
      </w:r>
      <w:proofErr w:type="gramEnd"/>
      <w:r w:rsidRPr="0043703E">
        <w:rPr>
          <w:sz w:val="22"/>
          <w:szCs w:val="22"/>
        </w:rPr>
        <w:t xml:space="preserve"> shall pass out of</w:t>
      </w:r>
      <w:r w:rsidR="00DC6255" w:rsidRPr="0043703E">
        <w:rPr>
          <w:rStyle w:val="FootnoteReference"/>
          <w:sz w:val="22"/>
          <w:szCs w:val="22"/>
        </w:rPr>
        <w:footnoteReference w:id="50"/>
      </w:r>
      <w:r w:rsidRPr="0043703E">
        <w:rPr>
          <w:sz w:val="22"/>
          <w:szCs w:val="22"/>
        </w:rPr>
        <w:t xml:space="preserve"> the hands of the King …</w:t>
      </w:r>
      <w:r w:rsidR="00714C27" w:rsidRPr="0043703E">
        <w:rPr>
          <w:sz w:val="22"/>
          <w:szCs w:val="22"/>
        </w:rPr>
        <w:t>.</w:t>
      </w:r>
      <w:r w:rsidRPr="0043703E">
        <w:rPr>
          <w:sz w:val="22"/>
          <w:szCs w:val="22"/>
        </w:rPr>
        <w:t>’</w:t>
      </w:r>
      <w:r w:rsidR="00714C27" w:rsidRPr="0043703E">
        <w:rPr>
          <w:rStyle w:val="FootnoteReference"/>
          <w:sz w:val="22"/>
          <w:szCs w:val="22"/>
        </w:rPr>
        <w:footnoteReference w:id="51"/>
      </w:r>
    </w:p>
    <w:p w14:paraId="3E947D98" w14:textId="77777777" w:rsidR="004165B2" w:rsidRPr="0043703E" w:rsidRDefault="004165B2" w:rsidP="0043703E">
      <w:pPr>
        <w:pStyle w:val="Text"/>
        <w:spacing w:line="264" w:lineRule="auto"/>
        <w:rPr>
          <w:sz w:val="22"/>
          <w:szCs w:val="22"/>
        </w:rPr>
      </w:pPr>
      <w:r w:rsidRPr="0043703E">
        <w:rPr>
          <w:sz w:val="22"/>
          <w:szCs w:val="22"/>
        </w:rPr>
        <w:t>When the sultanate passed over to Sultan Abdülhamid [II] he wished to rule in a despotic manner (</w:t>
      </w:r>
      <w:r w:rsidRPr="0043703E">
        <w:rPr>
          <w:i/>
          <w:sz w:val="22"/>
          <w:szCs w:val="22"/>
        </w:rPr>
        <w:t>istibd</w:t>
      </w:r>
      <w:r w:rsidR="00AC338B" w:rsidRPr="0043703E">
        <w:rPr>
          <w:i/>
          <w:sz w:val="22"/>
          <w:szCs w:val="22"/>
        </w:rPr>
        <w:t>á</w:t>
      </w:r>
      <w:r w:rsidRPr="0043703E">
        <w:rPr>
          <w:i/>
          <w:sz w:val="22"/>
          <w:szCs w:val="22"/>
        </w:rPr>
        <w:t>d-r</w:t>
      </w:r>
      <w:r w:rsidR="00AC338B" w:rsidRPr="0043703E">
        <w:rPr>
          <w:i/>
          <w:sz w:val="22"/>
          <w:szCs w:val="22"/>
        </w:rPr>
        <w:t>á</w:t>
      </w:r>
      <w:r w:rsidRPr="0043703E">
        <w:rPr>
          <w:i/>
          <w:sz w:val="22"/>
          <w:szCs w:val="22"/>
        </w:rPr>
        <w:t xml:space="preserve"> m</w:t>
      </w:r>
      <w:r w:rsidR="00AC338B" w:rsidRPr="0043703E">
        <w:rPr>
          <w:i/>
          <w:sz w:val="22"/>
          <w:szCs w:val="22"/>
        </w:rPr>
        <w:t>í</w:t>
      </w:r>
      <w:r w:rsidRPr="0043703E">
        <w:rPr>
          <w:i/>
          <w:sz w:val="22"/>
          <w:szCs w:val="22"/>
          <w:u w:val="single"/>
        </w:rPr>
        <w:t>kh</w:t>
      </w:r>
      <w:r w:rsidRPr="0043703E">
        <w:rPr>
          <w:i/>
          <w:sz w:val="22"/>
          <w:szCs w:val="22"/>
        </w:rPr>
        <w:t>w</w:t>
      </w:r>
      <w:r w:rsidR="00AC338B" w:rsidRPr="0043703E">
        <w:rPr>
          <w:i/>
          <w:sz w:val="22"/>
          <w:szCs w:val="22"/>
        </w:rPr>
        <w:t>á</w:t>
      </w:r>
      <w:r w:rsidRPr="0043703E">
        <w:rPr>
          <w:i/>
          <w:sz w:val="22"/>
          <w:szCs w:val="22"/>
        </w:rPr>
        <w:t>st</w:t>
      </w:r>
      <w:r w:rsidRPr="0043703E">
        <w:rPr>
          <w:sz w:val="22"/>
          <w:szCs w:val="22"/>
        </w:rPr>
        <w:t xml:space="preserve">), and </w:t>
      </w:r>
      <w:r w:rsidR="00D91AE6" w:rsidRPr="0043703E">
        <w:rPr>
          <w:sz w:val="22"/>
          <w:szCs w:val="22"/>
        </w:rPr>
        <w:t>Midhat Pasha</w:t>
      </w:r>
      <w:r w:rsidRPr="0043703E">
        <w:rPr>
          <w:sz w:val="22"/>
          <w:szCs w:val="22"/>
        </w:rPr>
        <w:t xml:space="preserve"> did not wish that.  </w:t>
      </w:r>
      <w:proofErr w:type="gramStart"/>
      <w:r w:rsidRPr="0043703E">
        <w:rPr>
          <w:sz w:val="22"/>
          <w:szCs w:val="22"/>
        </w:rPr>
        <w:t>So</w:t>
      </w:r>
      <w:proofErr w:type="gramEnd"/>
      <w:r w:rsidRPr="0043703E">
        <w:rPr>
          <w:sz w:val="22"/>
          <w:szCs w:val="22"/>
        </w:rPr>
        <w:t xml:space="preserve"> he [the Sultan] plotted (</w:t>
      </w:r>
      <w:r w:rsidRPr="0043703E">
        <w:rPr>
          <w:i/>
          <w:sz w:val="22"/>
          <w:szCs w:val="22"/>
        </w:rPr>
        <w:t>asb</w:t>
      </w:r>
      <w:r w:rsidR="00AC338B" w:rsidRPr="0043703E">
        <w:rPr>
          <w:i/>
          <w:sz w:val="22"/>
          <w:szCs w:val="22"/>
        </w:rPr>
        <w:t>á</w:t>
      </w:r>
      <w:r w:rsidRPr="0043703E">
        <w:rPr>
          <w:i/>
          <w:sz w:val="22"/>
          <w:szCs w:val="22"/>
        </w:rPr>
        <w:t>b-ch</w:t>
      </w:r>
      <w:r w:rsidR="00AC338B" w:rsidRPr="0043703E">
        <w:rPr>
          <w:i/>
          <w:sz w:val="22"/>
          <w:szCs w:val="22"/>
        </w:rPr>
        <w:t>í</w:t>
      </w:r>
      <w:r w:rsidRPr="0043703E">
        <w:rPr>
          <w:i/>
          <w:sz w:val="22"/>
          <w:szCs w:val="22"/>
        </w:rPr>
        <w:t>n</w:t>
      </w:r>
      <w:r w:rsidR="00AC338B" w:rsidRPr="0043703E">
        <w:rPr>
          <w:i/>
          <w:sz w:val="22"/>
          <w:szCs w:val="22"/>
        </w:rPr>
        <w:t>í</w:t>
      </w:r>
      <w:r w:rsidRPr="0043703E">
        <w:rPr>
          <w:i/>
          <w:sz w:val="22"/>
          <w:szCs w:val="22"/>
        </w:rPr>
        <w:t xml:space="preserve"> nam</w:t>
      </w:r>
      <w:r w:rsidR="00AC338B" w:rsidRPr="0043703E">
        <w:rPr>
          <w:i/>
          <w:sz w:val="22"/>
          <w:szCs w:val="22"/>
        </w:rPr>
        <w:t>ú</w:t>
      </w:r>
      <w:r w:rsidRPr="0043703E">
        <w:rPr>
          <w:i/>
          <w:sz w:val="22"/>
          <w:szCs w:val="22"/>
        </w:rPr>
        <w:t>d</w:t>
      </w:r>
      <w:r w:rsidRPr="0043703E">
        <w:rPr>
          <w:sz w:val="22"/>
          <w:szCs w:val="22"/>
        </w:rPr>
        <w:t xml:space="preserve">) [against him].  And the Council took counsel together [and agreed] that </w:t>
      </w:r>
      <w:r w:rsidR="00D91AE6" w:rsidRPr="0043703E">
        <w:rPr>
          <w:sz w:val="22"/>
          <w:szCs w:val="22"/>
        </w:rPr>
        <w:t>Midhat Pasha</w:t>
      </w:r>
      <w:r w:rsidRPr="0043703E">
        <w:rPr>
          <w:sz w:val="22"/>
          <w:szCs w:val="22"/>
        </w:rPr>
        <w:t>’s stay in the capital [Istanbul] was not appropriate.  They appointed that well-wisher of the state, of the people and the subjects as governor of the province of Damascus, Beirut and the Holy Land.  To put [the affairs of the province] in order (</w:t>
      </w:r>
      <w:r w:rsidRPr="0043703E">
        <w:rPr>
          <w:i/>
          <w:sz w:val="22"/>
          <w:szCs w:val="22"/>
        </w:rPr>
        <w:t>bar</w:t>
      </w:r>
      <w:r w:rsidR="00AC338B" w:rsidRPr="0043703E">
        <w:rPr>
          <w:i/>
          <w:sz w:val="22"/>
          <w:szCs w:val="22"/>
        </w:rPr>
        <w:t>á-</w:t>
      </w:r>
      <w:r w:rsidRPr="0043703E">
        <w:rPr>
          <w:i/>
          <w:sz w:val="22"/>
          <w:szCs w:val="22"/>
        </w:rPr>
        <w:t>yi</w:t>
      </w:r>
      <w:r w:rsidR="00AC338B" w:rsidRPr="0043703E">
        <w:rPr>
          <w:i/>
          <w:sz w:val="22"/>
          <w:szCs w:val="22"/>
        </w:rPr>
        <w:t>-</w:t>
      </w:r>
      <w:r w:rsidRPr="0043703E">
        <w:rPr>
          <w:i/>
          <w:sz w:val="22"/>
          <w:szCs w:val="22"/>
        </w:rPr>
        <w:t>na</w:t>
      </w:r>
      <w:r w:rsidR="00AC338B" w:rsidRPr="0043703E">
        <w:rPr>
          <w:i/>
          <w:sz w:val="22"/>
          <w:szCs w:val="22"/>
        </w:rPr>
        <w:t>ẓ</w:t>
      </w:r>
      <w:r w:rsidRPr="0043703E">
        <w:rPr>
          <w:i/>
          <w:sz w:val="22"/>
          <w:szCs w:val="22"/>
        </w:rPr>
        <w:t>m</w:t>
      </w:r>
      <w:r w:rsidRPr="0043703E">
        <w:rPr>
          <w:sz w:val="22"/>
          <w:szCs w:val="22"/>
        </w:rPr>
        <w:t>), he would travel to the cities and towns under his government.  For his arrival in ‘Akká, there was no better and more pleasant place than the Ri</w:t>
      </w:r>
      <w:r w:rsidR="00261597" w:rsidRPr="0043703E">
        <w:rPr>
          <w:sz w:val="22"/>
          <w:szCs w:val="22"/>
        </w:rPr>
        <w:t>ḍ</w:t>
      </w:r>
      <w:r w:rsidRPr="0043703E">
        <w:rPr>
          <w:sz w:val="22"/>
          <w:szCs w:val="22"/>
        </w:rPr>
        <w:t>v</w:t>
      </w:r>
      <w:r w:rsidR="00261597" w:rsidRPr="0043703E">
        <w:rPr>
          <w:sz w:val="22"/>
          <w:szCs w:val="22"/>
        </w:rPr>
        <w:t>á</w:t>
      </w:r>
      <w:r w:rsidRPr="0043703E">
        <w:rPr>
          <w:sz w:val="22"/>
          <w:szCs w:val="22"/>
        </w:rPr>
        <w:t>n Garden.  They asked Sark</w:t>
      </w:r>
      <w:r w:rsidR="00AC338B" w:rsidRPr="0043703E">
        <w:rPr>
          <w:sz w:val="22"/>
          <w:szCs w:val="22"/>
        </w:rPr>
        <w:t>á</w:t>
      </w:r>
      <w:r w:rsidRPr="0043703E">
        <w:rPr>
          <w:sz w:val="22"/>
          <w:szCs w:val="22"/>
        </w:rPr>
        <w:t>r</w:t>
      </w:r>
      <w:r w:rsidR="00AC338B" w:rsidRPr="0043703E">
        <w:rPr>
          <w:sz w:val="22"/>
          <w:szCs w:val="22"/>
        </w:rPr>
        <w:t>Á</w:t>
      </w:r>
      <w:r w:rsidRPr="0043703E">
        <w:rPr>
          <w:sz w:val="22"/>
          <w:szCs w:val="22"/>
        </w:rPr>
        <w:t>q</w:t>
      </w:r>
      <w:r w:rsidR="00AC338B" w:rsidRPr="0043703E">
        <w:rPr>
          <w:sz w:val="22"/>
          <w:szCs w:val="22"/>
        </w:rPr>
        <w:t>á</w:t>
      </w:r>
      <w:r w:rsidRPr="0043703E">
        <w:rPr>
          <w:sz w:val="22"/>
          <w:szCs w:val="22"/>
        </w:rPr>
        <w:t xml:space="preserve"> [‘Abdu’l-Bahá]</w:t>
      </w:r>
      <w:r w:rsidR="00AC338B" w:rsidRPr="0043703E">
        <w:rPr>
          <w:sz w:val="22"/>
          <w:szCs w:val="22"/>
        </w:rPr>
        <w:t>—</w:t>
      </w:r>
      <w:r w:rsidRPr="0043703E">
        <w:rPr>
          <w:sz w:val="22"/>
          <w:szCs w:val="22"/>
        </w:rPr>
        <w:t>may the lives of all be a sacrifice unto Him</w:t>
      </w:r>
      <w:r w:rsidR="00AC338B" w:rsidRPr="0043703E">
        <w:rPr>
          <w:sz w:val="22"/>
          <w:szCs w:val="22"/>
        </w:rPr>
        <w:t>—</w:t>
      </w:r>
      <w:r w:rsidRPr="0043703E">
        <w:rPr>
          <w:sz w:val="22"/>
          <w:szCs w:val="22"/>
        </w:rPr>
        <w:t>whether he [</w:t>
      </w:r>
      <w:r w:rsidR="00D91AE6" w:rsidRPr="0043703E">
        <w:rPr>
          <w:sz w:val="22"/>
          <w:szCs w:val="22"/>
        </w:rPr>
        <w:t>Midhat Pasha</w:t>
      </w:r>
      <w:r w:rsidRPr="0043703E">
        <w:rPr>
          <w:sz w:val="22"/>
          <w:szCs w:val="22"/>
        </w:rPr>
        <w:t xml:space="preserve">] could be honoured with staying in the </w:t>
      </w:r>
      <w:r w:rsidR="00261597" w:rsidRPr="0043703E">
        <w:rPr>
          <w:sz w:val="22"/>
          <w:szCs w:val="22"/>
        </w:rPr>
        <w:t>Riḍván</w:t>
      </w:r>
      <w:r w:rsidRPr="0043703E">
        <w:rPr>
          <w:sz w:val="22"/>
          <w:szCs w:val="22"/>
        </w:rPr>
        <w:t xml:space="preserve"> Garden, and He gave permission.  He [</w:t>
      </w:r>
      <w:r w:rsidR="00D91AE6" w:rsidRPr="0043703E">
        <w:rPr>
          <w:sz w:val="22"/>
          <w:szCs w:val="22"/>
        </w:rPr>
        <w:t>Midhat Pasha</w:t>
      </w:r>
      <w:r w:rsidRPr="0043703E">
        <w:rPr>
          <w:sz w:val="22"/>
          <w:szCs w:val="22"/>
        </w:rPr>
        <w:t>] arrived and because His Holiness [‘Abdu’l-Bahá] was a prisoner according to outer circumstances, He did not pay a visit.  That great vizier (</w:t>
      </w:r>
      <w:r w:rsidRPr="0043703E">
        <w:rPr>
          <w:i/>
          <w:sz w:val="22"/>
          <w:szCs w:val="22"/>
        </w:rPr>
        <w:t>waz</w:t>
      </w:r>
      <w:r w:rsidR="00AC338B" w:rsidRPr="0043703E">
        <w:rPr>
          <w:i/>
          <w:sz w:val="22"/>
          <w:szCs w:val="22"/>
        </w:rPr>
        <w:t>í</w:t>
      </w:r>
      <w:r w:rsidRPr="0043703E">
        <w:rPr>
          <w:i/>
          <w:sz w:val="22"/>
          <w:szCs w:val="22"/>
        </w:rPr>
        <w:t>r-i</w:t>
      </w:r>
      <w:r w:rsidR="00AC338B" w:rsidRPr="0043703E">
        <w:rPr>
          <w:i/>
          <w:sz w:val="22"/>
          <w:szCs w:val="22"/>
        </w:rPr>
        <w:t>-</w:t>
      </w:r>
      <w:r w:rsidRPr="0043703E">
        <w:rPr>
          <w:i/>
          <w:sz w:val="22"/>
          <w:szCs w:val="22"/>
        </w:rPr>
        <w:t>kab</w:t>
      </w:r>
      <w:r w:rsidR="00AC338B" w:rsidRPr="0043703E">
        <w:rPr>
          <w:i/>
          <w:sz w:val="22"/>
          <w:szCs w:val="22"/>
        </w:rPr>
        <w:t>í</w:t>
      </w:r>
      <w:r w:rsidRPr="0043703E">
        <w:rPr>
          <w:i/>
          <w:sz w:val="22"/>
          <w:szCs w:val="22"/>
        </w:rPr>
        <w:t>r</w:t>
      </w:r>
      <w:r w:rsidRPr="0043703E">
        <w:rPr>
          <w:sz w:val="22"/>
          <w:szCs w:val="22"/>
        </w:rPr>
        <w:t>) was very pleased by the condition, beauty and purity of the garden and by its flowers.  He recognized out of perspicacity that it belonged to Sark</w:t>
      </w:r>
      <w:r w:rsidR="00AC338B" w:rsidRPr="0043703E">
        <w:rPr>
          <w:sz w:val="22"/>
          <w:szCs w:val="22"/>
        </w:rPr>
        <w:t>á</w:t>
      </w:r>
      <w:r w:rsidRPr="0043703E">
        <w:rPr>
          <w:sz w:val="22"/>
          <w:szCs w:val="22"/>
        </w:rPr>
        <w:t>r</w:t>
      </w:r>
      <w:r w:rsidR="007D2D0E" w:rsidRPr="0043703E">
        <w:rPr>
          <w:sz w:val="22"/>
          <w:szCs w:val="22"/>
        </w:rPr>
        <w:t xml:space="preserve"> </w:t>
      </w:r>
      <w:r w:rsidR="00AC338B" w:rsidRPr="0043703E">
        <w:rPr>
          <w:sz w:val="22"/>
          <w:szCs w:val="22"/>
        </w:rPr>
        <w:t>Á</w:t>
      </w:r>
      <w:r w:rsidRPr="0043703E">
        <w:rPr>
          <w:sz w:val="22"/>
          <w:szCs w:val="22"/>
        </w:rPr>
        <w:t>q</w:t>
      </w:r>
      <w:r w:rsidR="00AC338B" w:rsidRPr="0043703E">
        <w:rPr>
          <w:sz w:val="22"/>
          <w:szCs w:val="22"/>
        </w:rPr>
        <w:t>á</w:t>
      </w:r>
      <w:r w:rsidRPr="0043703E">
        <w:rPr>
          <w:sz w:val="22"/>
          <w:szCs w:val="22"/>
        </w:rPr>
        <w:t>.  He asked and they answered in the affirmative.  He said</w:t>
      </w:r>
      <w:proofErr w:type="gramStart"/>
      <w:r w:rsidRPr="0043703E">
        <w:rPr>
          <w:sz w:val="22"/>
          <w:szCs w:val="22"/>
        </w:rPr>
        <w:t>:  ‘</w:t>
      </w:r>
      <w:proofErr w:type="gramEnd"/>
      <w:r w:rsidRPr="0043703E">
        <w:rPr>
          <w:sz w:val="22"/>
          <w:szCs w:val="22"/>
        </w:rPr>
        <w:t xml:space="preserve">For years I have longed to meet Him.  I have seen His </w:t>
      </w:r>
      <w:proofErr w:type="gramStart"/>
      <w:r w:rsidRPr="0043703E">
        <w:rPr>
          <w:sz w:val="22"/>
          <w:szCs w:val="22"/>
        </w:rPr>
        <w:t>utterances</w:t>
      </w:r>
      <w:proofErr w:type="gramEnd"/>
      <w:r w:rsidRPr="0043703E">
        <w:rPr>
          <w:sz w:val="22"/>
          <w:szCs w:val="22"/>
        </w:rPr>
        <w:t xml:space="preserve"> in Turkish that are beyond like or equal and eloquently testify to His vast knowledge.  I have often heard many of the learned highly praising and extolling Him.’ (</w:t>
      </w:r>
      <w:r w:rsidRPr="0043703E">
        <w:rPr>
          <w:i/>
          <w:sz w:val="22"/>
          <w:szCs w:val="22"/>
        </w:rPr>
        <w:t>sanaw</w:t>
      </w:r>
      <w:r w:rsidR="00AC338B" w:rsidRPr="0043703E">
        <w:rPr>
          <w:i/>
          <w:sz w:val="22"/>
          <w:szCs w:val="22"/>
        </w:rPr>
        <w:t>á</w:t>
      </w:r>
      <w:r w:rsidRPr="0043703E">
        <w:rPr>
          <w:i/>
          <w:sz w:val="22"/>
          <w:szCs w:val="22"/>
        </w:rPr>
        <w:t xml:space="preserve">t ast kih </w:t>
      </w:r>
      <w:r w:rsidR="00AC338B" w:rsidRPr="0043703E">
        <w:rPr>
          <w:i/>
          <w:sz w:val="22"/>
          <w:szCs w:val="22"/>
        </w:rPr>
        <w:t>ṭá</w:t>
      </w:r>
      <w:r w:rsidRPr="0043703E">
        <w:rPr>
          <w:i/>
          <w:sz w:val="22"/>
          <w:szCs w:val="22"/>
        </w:rPr>
        <w:t>lib-i</w:t>
      </w:r>
      <w:r w:rsidR="00AC338B" w:rsidRPr="0043703E">
        <w:rPr>
          <w:i/>
          <w:sz w:val="22"/>
          <w:szCs w:val="22"/>
        </w:rPr>
        <w:t>-</w:t>
      </w:r>
      <w:r w:rsidRPr="0043703E">
        <w:rPr>
          <w:i/>
          <w:sz w:val="22"/>
          <w:szCs w:val="22"/>
        </w:rPr>
        <w:t>ziy</w:t>
      </w:r>
      <w:r w:rsidR="00AC338B" w:rsidRPr="0043703E">
        <w:rPr>
          <w:i/>
          <w:sz w:val="22"/>
          <w:szCs w:val="22"/>
        </w:rPr>
        <w:t>á</w:t>
      </w:r>
      <w:r w:rsidRPr="0043703E">
        <w:rPr>
          <w:i/>
          <w:sz w:val="22"/>
          <w:szCs w:val="22"/>
        </w:rPr>
        <w:t>rat-i</w:t>
      </w:r>
      <w:r w:rsidR="00AC338B" w:rsidRPr="0043703E">
        <w:rPr>
          <w:i/>
          <w:sz w:val="22"/>
          <w:szCs w:val="22"/>
        </w:rPr>
        <w:t>-</w:t>
      </w:r>
      <w:r w:rsidRPr="0043703E">
        <w:rPr>
          <w:i/>
          <w:sz w:val="22"/>
          <w:szCs w:val="22"/>
        </w:rPr>
        <w:t>sh</w:t>
      </w:r>
      <w:r w:rsidR="00AC338B" w:rsidRPr="0043703E">
        <w:rPr>
          <w:i/>
          <w:sz w:val="22"/>
          <w:szCs w:val="22"/>
        </w:rPr>
        <w:t>á</w:t>
      </w:r>
      <w:r w:rsidRPr="0043703E">
        <w:rPr>
          <w:i/>
          <w:sz w:val="22"/>
          <w:szCs w:val="22"/>
        </w:rPr>
        <w:t>n hastam wa bay</w:t>
      </w:r>
      <w:r w:rsidR="00AC338B" w:rsidRPr="0043703E">
        <w:rPr>
          <w:i/>
          <w:sz w:val="22"/>
          <w:szCs w:val="22"/>
        </w:rPr>
        <w:t>á</w:t>
      </w:r>
      <w:r w:rsidRPr="0043703E">
        <w:rPr>
          <w:i/>
          <w:sz w:val="22"/>
          <w:szCs w:val="22"/>
        </w:rPr>
        <w:t>n</w:t>
      </w:r>
      <w:r w:rsidR="00AC338B" w:rsidRPr="0043703E">
        <w:rPr>
          <w:i/>
          <w:sz w:val="22"/>
          <w:szCs w:val="22"/>
        </w:rPr>
        <w:t>á</w:t>
      </w:r>
      <w:r w:rsidRPr="0043703E">
        <w:rPr>
          <w:i/>
          <w:sz w:val="22"/>
          <w:szCs w:val="22"/>
        </w:rPr>
        <w:t>t-i</w:t>
      </w:r>
      <w:r w:rsidR="00AC338B" w:rsidRPr="0043703E">
        <w:rPr>
          <w:i/>
          <w:sz w:val="22"/>
          <w:szCs w:val="22"/>
        </w:rPr>
        <w:t>-</w:t>
      </w:r>
      <w:r w:rsidRPr="0043703E">
        <w:rPr>
          <w:i/>
          <w:sz w:val="22"/>
          <w:szCs w:val="22"/>
        </w:rPr>
        <w:t>sh</w:t>
      </w:r>
      <w:r w:rsidR="00AC338B" w:rsidRPr="0043703E">
        <w:rPr>
          <w:i/>
          <w:sz w:val="22"/>
          <w:szCs w:val="22"/>
        </w:rPr>
        <w:t>á</w:t>
      </w:r>
      <w:r w:rsidRPr="0043703E">
        <w:rPr>
          <w:i/>
          <w:sz w:val="22"/>
          <w:szCs w:val="22"/>
        </w:rPr>
        <w:t>n kih dar turk</w:t>
      </w:r>
      <w:r w:rsidR="00AC338B" w:rsidRPr="0043703E">
        <w:rPr>
          <w:i/>
          <w:sz w:val="22"/>
          <w:szCs w:val="22"/>
        </w:rPr>
        <w:t>í</w:t>
      </w:r>
      <w:r w:rsidRPr="0043703E">
        <w:rPr>
          <w:i/>
          <w:sz w:val="22"/>
          <w:szCs w:val="22"/>
        </w:rPr>
        <w:t xml:space="preserve"> mi</w:t>
      </w:r>
      <w:r w:rsidRPr="0043703E">
        <w:rPr>
          <w:i/>
          <w:sz w:val="22"/>
          <w:szCs w:val="22"/>
          <w:u w:val="single"/>
        </w:rPr>
        <w:t>th</w:t>
      </w:r>
      <w:r w:rsidRPr="0043703E">
        <w:rPr>
          <w:i/>
          <w:sz w:val="22"/>
          <w:szCs w:val="22"/>
        </w:rPr>
        <w:t>l wa m</w:t>
      </w:r>
      <w:r w:rsidR="00AC338B" w:rsidRPr="0043703E">
        <w:rPr>
          <w:i/>
          <w:sz w:val="22"/>
          <w:szCs w:val="22"/>
        </w:rPr>
        <w:t>á</w:t>
      </w:r>
      <w:r w:rsidRPr="0043703E">
        <w:rPr>
          <w:i/>
          <w:sz w:val="22"/>
          <w:szCs w:val="22"/>
        </w:rPr>
        <w:t>nand na-d</w:t>
      </w:r>
      <w:r w:rsidR="00AC338B" w:rsidRPr="0043703E">
        <w:rPr>
          <w:i/>
          <w:sz w:val="22"/>
          <w:szCs w:val="22"/>
        </w:rPr>
        <w:t>á</w:t>
      </w:r>
      <w:r w:rsidRPr="0043703E">
        <w:rPr>
          <w:i/>
          <w:sz w:val="22"/>
          <w:szCs w:val="22"/>
        </w:rPr>
        <w:t>rad wa az i</w:t>
      </w:r>
      <w:r w:rsidR="00AC338B" w:rsidRPr="0043703E">
        <w:rPr>
          <w:i/>
          <w:sz w:val="22"/>
          <w:szCs w:val="22"/>
        </w:rPr>
        <w:t>ḥáṭ</w:t>
      </w:r>
      <w:r w:rsidRPr="0043703E">
        <w:rPr>
          <w:i/>
          <w:sz w:val="22"/>
          <w:szCs w:val="22"/>
        </w:rPr>
        <w:t>ih-yi</w:t>
      </w:r>
      <w:proofErr w:type="gramStart"/>
      <w:r w:rsidR="00AC338B" w:rsidRPr="0043703E">
        <w:rPr>
          <w:i/>
          <w:sz w:val="22"/>
          <w:szCs w:val="22"/>
        </w:rPr>
        <w:t>-</w:t>
      </w:r>
      <w:r w:rsidRPr="0043703E">
        <w:rPr>
          <w:i/>
          <w:sz w:val="22"/>
          <w:szCs w:val="22"/>
        </w:rPr>
        <w:t>‘</w:t>
      </w:r>
      <w:proofErr w:type="gramEnd"/>
      <w:r w:rsidRPr="0043703E">
        <w:rPr>
          <w:i/>
          <w:sz w:val="22"/>
          <w:szCs w:val="22"/>
        </w:rPr>
        <w:t>ilmiyyih-yi</w:t>
      </w:r>
      <w:r w:rsidR="00AC338B" w:rsidRPr="0043703E">
        <w:rPr>
          <w:i/>
          <w:sz w:val="22"/>
          <w:szCs w:val="22"/>
        </w:rPr>
        <w:t>-</w:t>
      </w:r>
      <w:r w:rsidRPr="0043703E">
        <w:rPr>
          <w:i/>
          <w:sz w:val="22"/>
          <w:szCs w:val="22"/>
        </w:rPr>
        <w:t>i</w:t>
      </w:r>
      <w:r w:rsidRPr="0043703E">
        <w:rPr>
          <w:i/>
          <w:sz w:val="22"/>
          <w:szCs w:val="22"/>
          <w:u w:val="single"/>
        </w:rPr>
        <w:t>sh</w:t>
      </w:r>
      <w:r w:rsidR="00AC338B" w:rsidRPr="0043703E">
        <w:rPr>
          <w:i/>
          <w:sz w:val="22"/>
          <w:szCs w:val="22"/>
        </w:rPr>
        <w:t>á</w:t>
      </w:r>
      <w:r w:rsidRPr="0043703E">
        <w:rPr>
          <w:i/>
          <w:sz w:val="22"/>
          <w:szCs w:val="22"/>
        </w:rPr>
        <w:t>n</w:t>
      </w:r>
      <w:r w:rsidR="00AC338B" w:rsidRPr="0043703E">
        <w:rPr>
          <w:i/>
          <w:sz w:val="22"/>
          <w:szCs w:val="22"/>
        </w:rPr>
        <w:t xml:space="preserve"> ḥá</w:t>
      </w:r>
      <w:r w:rsidRPr="0043703E">
        <w:rPr>
          <w:i/>
          <w:sz w:val="22"/>
          <w:szCs w:val="22"/>
        </w:rPr>
        <w:t>k</w:t>
      </w:r>
      <w:r w:rsidR="00AC338B" w:rsidRPr="0043703E">
        <w:rPr>
          <w:i/>
          <w:sz w:val="22"/>
          <w:szCs w:val="22"/>
        </w:rPr>
        <w:t>í</w:t>
      </w:r>
      <w:r w:rsidRPr="0043703E">
        <w:rPr>
          <w:i/>
          <w:sz w:val="22"/>
          <w:szCs w:val="22"/>
        </w:rPr>
        <w:t>st ziy</w:t>
      </w:r>
      <w:r w:rsidR="00AC338B" w:rsidRPr="0043703E">
        <w:rPr>
          <w:i/>
          <w:sz w:val="22"/>
          <w:szCs w:val="22"/>
        </w:rPr>
        <w:t>á</w:t>
      </w:r>
      <w:r w:rsidRPr="0043703E">
        <w:rPr>
          <w:i/>
          <w:sz w:val="22"/>
          <w:szCs w:val="22"/>
        </w:rPr>
        <w:t>rat nam</w:t>
      </w:r>
      <w:r w:rsidR="00AC338B" w:rsidRPr="0043703E">
        <w:rPr>
          <w:i/>
          <w:sz w:val="22"/>
          <w:szCs w:val="22"/>
        </w:rPr>
        <w:t>ú</w:t>
      </w:r>
      <w:r w:rsidRPr="0043703E">
        <w:rPr>
          <w:i/>
          <w:sz w:val="22"/>
          <w:szCs w:val="22"/>
        </w:rPr>
        <w:t>dih-am wa mad</w:t>
      </w:r>
      <w:r w:rsidR="00AC338B" w:rsidRPr="0043703E">
        <w:rPr>
          <w:i/>
          <w:sz w:val="22"/>
          <w:szCs w:val="22"/>
        </w:rPr>
        <w:t>ḥ</w:t>
      </w:r>
      <w:r w:rsidRPr="0043703E">
        <w:rPr>
          <w:i/>
          <w:sz w:val="22"/>
          <w:szCs w:val="22"/>
        </w:rPr>
        <w:t xml:space="preserve"> wa sit</w:t>
      </w:r>
      <w:r w:rsidR="00AC338B" w:rsidRPr="0043703E">
        <w:rPr>
          <w:i/>
          <w:sz w:val="22"/>
          <w:szCs w:val="22"/>
        </w:rPr>
        <w:t>á</w:t>
      </w:r>
      <w:r w:rsidRPr="0043703E">
        <w:rPr>
          <w:i/>
          <w:sz w:val="22"/>
          <w:szCs w:val="22"/>
        </w:rPr>
        <w:t>yi</w:t>
      </w:r>
      <w:r w:rsidRPr="0043703E">
        <w:rPr>
          <w:i/>
          <w:sz w:val="22"/>
          <w:szCs w:val="22"/>
          <w:u w:val="single"/>
        </w:rPr>
        <w:t>sh</w:t>
      </w:r>
      <w:r w:rsidRPr="0043703E">
        <w:rPr>
          <w:i/>
          <w:sz w:val="22"/>
          <w:szCs w:val="22"/>
        </w:rPr>
        <w:t>-i</w:t>
      </w:r>
      <w:r w:rsidR="00AC338B" w:rsidRPr="0043703E">
        <w:rPr>
          <w:i/>
          <w:sz w:val="22"/>
          <w:szCs w:val="22"/>
        </w:rPr>
        <w:t>-</w:t>
      </w:r>
      <w:r w:rsidRPr="0043703E">
        <w:rPr>
          <w:i/>
          <w:sz w:val="22"/>
          <w:szCs w:val="22"/>
          <w:u w:val="single"/>
        </w:rPr>
        <w:t>sh</w:t>
      </w:r>
      <w:r w:rsidR="00AC338B" w:rsidRPr="0043703E">
        <w:rPr>
          <w:i/>
          <w:sz w:val="22"/>
          <w:szCs w:val="22"/>
        </w:rPr>
        <w:t>á</w:t>
      </w:r>
      <w:r w:rsidRPr="0043703E">
        <w:rPr>
          <w:i/>
          <w:sz w:val="22"/>
          <w:szCs w:val="22"/>
        </w:rPr>
        <w:t>n-r</w:t>
      </w:r>
      <w:r w:rsidR="00AC338B" w:rsidRPr="0043703E">
        <w:rPr>
          <w:i/>
          <w:sz w:val="22"/>
          <w:szCs w:val="22"/>
        </w:rPr>
        <w:t>á</w:t>
      </w:r>
      <w:r w:rsidRPr="0043703E">
        <w:rPr>
          <w:i/>
          <w:sz w:val="22"/>
          <w:szCs w:val="22"/>
        </w:rPr>
        <w:t xml:space="preserve"> az d</w:t>
      </w:r>
      <w:r w:rsidR="00AC338B" w:rsidRPr="0043703E">
        <w:rPr>
          <w:i/>
          <w:sz w:val="22"/>
          <w:szCs w:val="22"/>
        </w:rPr>
        <w:t>á</w:t>
      </w:r>
      <w:r w:rsidRPr="0043703E">
        <w:rPr>
          <w:i/>
          <w:sz w:val="22"/>
          <w:szCs w:val="22"/>
        </w:rPr>
        <w:t>ni</w:t>
      </w:r>
      <w:r w:rsidRPr="0043703E">
        <w:rPr>
          <w:i/>
          <w:sz w:val="22"/>
          <w:szCs w:val="22"/>
          <w:u w:val="single"/>
        </w:rPr>
        <w:t>sh</w:t>
      </w:r>
      <w:r w:rsidRPr="0043703E">
        <w:rPr>
          <w:i/>
          <w:sz w:val="22"/>
          <w:szCs w:val="22"/>
        </w:rPr>
        <w:t>mand</w:t>
      </w:r>
      <w:r w:rsidR="00AC338B" w:rsidRPr="0043703E">
        <w:rPr>
          <w:i/>
          <w:sz w:val="22"/>
          <w:szCs w:val="22"/>
        </w:rPr>
        <w:t>á</w:t>
      </w:r>
      <w:r w:rsidRPr="0043703E">
        <w:rPr>
          <w:i/>
          <w:sz w:val="22"/>
          <w:szCs w:val="22"/>
        </w:rPr>
        <w:t>n bisy</w:t>
      </w:r>
      <w:r w:rsidR="00AC338B" w:rsidRPr="0043703E">
        <w:rPr>
          <w:i/>
          <w:sz w:val="22"/>
          <w:szCs w:val="22"/>
        </w:rPr>
        <w:t>á</w:t>
      </w:r>
      <w:r w:rsidRPr="0043703E">
        <w:rPr>
          <w:i/>
          <w:sz w:val="22"/>
          <w:szCs w:val="22"/>
        </w:rPr>
        <w:t>r</w:t>
      </w:r>
    </w:p>
    <w:p w14:paraId="61A2F96C" w14:textId="77777777" w:rsidR="004165B2" w:rsidRPr="0043703E" w:rsidRDefault="006A3E81" w:rsidP="0043703E">
      <w:pPr>
        <w:pStyle w:val="Textcts"/>
        <w:spacing w:line="264" w:lineRule="auto"/>
        <w:rPr>
          <w:sz w:val="22"/>
          <w:szCs w:val="22"/>
        </w:rPr>
      </w:pPr>
      <w:r w:rsidRPr="0043703E">
        <w:rPr>
          <w:sz w:val="22"/>
          <w:szCs w:val="22"/>
        </w:rPr>
        <w:br w:type="page"/>
      </w:r>
      <w:r w:rsidR="004165B2" w:rsidRPr="0043703E">
        <w:rPr>
          <w:i/>
          <w:sz w:val="22"/>
          <w:szCs w:val="22"/>
          <w:u w:val="single"/>
        </w:rPr>
        <w:lastRenderedPageBreak/>
        <w:t>sh</w:t>
      </w:r>
      <w:r w:rsidR="004165B2" w:rsidRPr="0043703E">
        <w:rPr>
          <w:i/>
          <w:sz w:val="22"/>
          <w:szCs w:val="22"/>
        </w:rPr>
        <w:t>an</w:t>
      </w:r>
      <w:r w:rsidR="007D2D0E" w:rsidRPr="0043703E">
        <w:rPr>
          <w:i/>
          <w:sz w:val="22"/>
          <w:szCs w:val="22"/>
        </w:rPr>
        <w:t>í</w:t>
      </w:r>
      <w:r w:rsidR="004165B2" w:rsidRPr="0043703E">
        <w:rPr>
          <w:i/>
          <w:sz w:val="22"/>
          <w:szCs w:val="22"/>
        </w:rPr>
        <w:t>dih-am</w:t>
      </w:r>
      <w:r w:rsidR="004165B2" w:rsidRPr="0043703E">
        <w:rPr>
          <w:sz w:val="22"/>
          <w:szCs w:val="22"/>
        </w:rPr>
        <w:t>) He despatched a messenger saying, ‘I yearn to meet His Excellency (</w:t>
      </w:r>
      <w:r w:rsidR="004165B2" w:rsidRPr="0043703E">
        <w:rPr>
          <w:i/>
          <w:sz w:val="22"/>
          <w:szCs w:val="22"/>
        </w:rPr>
        <w:t>ziy</w:t>
      </w:r>
      <w:r w:rsidR="00C3238A" w:rsidRPr="0043703E">
        <w:rPr>
          <w:i/>
          <w:sz w:val="22"/>
          <w:szCs w:val="22"/>
        </w:rPr>
        <w:t>á</w:t>
      </w:r>
      <w:r w:rsidR="004165B2" w:rsidRPr="0043703E">
        <w:rPr>
          <w:i/>
          <w:sz w:val="22"/>
          <w:szCs w:val="22"/>
        </w:rPr>
        <w:t>rat-i</w:t>
      </w:r>
      <w:r w:rsidR="00C3238A" w:rsidRPr="0043703E">
        <w:rPr>
          <w:i/>
          <w:sz w:val="22"/>
          <w:szCs w:val="22"/>
        </w:rPr>
        <w:t>-ḥ</w:t>
      </w:r>
      <w:r w:rsidR="004165B2" w:rsidRPr="0043703E">
        <w:rPr>
          <w:i/>
          <w:sz w:val="22"/>
          <w:szCs w:val="22"/>
        </w:rPr>
        <w:t>a</w:t>
      </w:r>
      <w:r w:rsidR="00C3238A" w:rsidRPr="0043703E">
        <w:rPr>
          <w:i/>
          <w:sz w:val="22"/>
          <w:szCs w:val="22"/>
        </w:rPr>
        <w:t>ḍ</w:t>
      </w:r>
      <w:r w:rsidR="004165B2" w:rsidRPr="0043703E">
        <w:rPr>
          <w:i/>
          <w:sz w:val="22"/>
          <w:szCs w:val="22"/>
        </w:rPr>
        <w:t>rat-i</w:t>
      </w:r>
      <w:proofErr w:type="gramStart"/>
      <w:r w:rsidR="00C3238A" w:rsidRPr="0043703E">
        <w:rPr>
          <w:i/>
          <w:sz w:val="22"/>
          <w:szCs w:val="22"/>
        </w:rPr>
        <w:t>-</w:t>
      </w:r>
      <w:r w:rsidR="004165B2" w:rsidRPr="0043703E">
        <w:rPr>
          <w:i/>
          <w:sz w:val="22"/>
          <w:szCs w:val="22"/>
        </w:rPr>
        <w:t>‘</w:t>
      </w:r>
      <w:proofErr w:type="gramEnd"/>
      <w:r w:rsidR="00C3238A" w:rsidRPr="0043703E">
        <w:rPr>
          <w:i/>
          <w:sz w:val="22"/>
          <w:szCs w:val="22"/>
        </w:rPr>
        <w:t>á</w:t>
      </w:r>
      <w:r w:rsidR="004165B2" w:rsidRPr="0043703E">
        <w:rPr>
          <w:i/>
          <w:sz w:val="22"/>
          <w:szCs w:val="22"/>
        </w:rPr>
        <w:t>l</w:t>
      </w:r>
      <w:r w:rsidR="00C3238A" w:rsidRPr="0043703E">
        <w:rPr>
          <w:i/>
          <w:sz w:val="22"/>
          <w:szCs w:val="22"/>
        </w:rPr>
        <w:t>í</w:t>
      </w:r>
      <w:r w:rsidR="004165B2" w:rsidRPr="0043703E">
        <w:rPr>
          <w:i/>
          <w:sz w:val="22"/>
          <w:szCs w:val="22"/>
        </w:rPr>
        <w:t xml:space="preserve"> bi-j</w:t>
      </w:r>
      <w:r w:rsidR="00C3238A" w:rsidRPr="0043703E">
        <w:rPr>
          <w:i/>
          <w:sz w:val="22"/>
          <w:szCs w:val="22"/>
        </w:rPr>
        <w:t>á</w:t>
      </w:r>
      <w:r w:rsidR="004165B2" w:rsidRPr="0043703E">
        <w:rPr>
          <w:i/>
          <w:sz w:val="22"/>
          <w:szCs w:val="22"/>
        </w:rPr>
        <w:t xml:space="preserve">n </w:t>
      </w:r>
      <w:r w:rsidR="00C3238A" w:rsidRPr="0043703E">
        <w:rPr>
          <w:i/>
          <w:sz w:val="22"/>
          <w:szCs w:val="22"/>
        </w:rPr>
        <w:t>ṭá</w:t>
      </w:r>
      <w:r w:rsidR="004165B2" w:rsidRPr="0043703E">
        <w:rPr>
          <w:i/>
          <w:sz w:val="22"/>
          <w:szCs w:val="22"/>
        </w:rPr>
        <w:t>libam</w:t>
      </w:r>
      <w:r w:rsidR="004165B2" w:rsidRPr="0043703E">
        <w:rPr>
          <w:sz w:val="22"/>
          <w:szCs w:val="22"/>
        </w:rPr>
        <w:t xml:space="preserve">).’ </w:t>
      </w:r>
      <w:r w:rsidR="00C3238A" w:rsidRPr="0043703E">
        <w:rPr>
          <w:sz w:val="22"/>
          <w:szCs w:val="22"/>
        </w:rPr>
        <w:t xml:space="preserve"> </w:t>
      </w:r>
      <w:r w:rsidR="004165B2" w:rsidRPr="0043703E">
        <w:rPr>
          <w:sz w:val="22"/>
          <w:szCs w:val="22"/>
        </w:rPr>
        <w:t>He [‘Abdu’l-Bahá] honoured him with a visit.  He [Mid</w:t>
      </w:r>
      <w:r w:rsidR="00C3238A" w:rsidRPr="0043703E">
        <w:rPr>
          <w:sz w:val="22"/>
          <w:szCs w:val="22"/>
        </w:rPr>
        <w:t>h</w:t>
      </w:r>
      <w:r w:rsidR="004165B2" w:rsidRPr="0043703E">
        <w:rPr>
          <w:sz w:val="22"/>
          <w:szCs w:val="22"/>
        </w:rPr>
        <w:t>at] was so attracted (</w:t>
      </w:r>
      <w:r w:rsidR="004165B2" w:rsidRPr="0043703E">
        <w:rPr>
          <w:i/>
          <w:sz w:val="22"/>
          <w:szCs w:val="22"/>
        </w:rPr>
        <w:t>majdh</w:t>
      </w:r>
      <w:r w:rsidR="00C3238A" w:rsidRPr="0043703E">
        <w:rPr>
          <w:i/>
          <w:sz w:val="22"/>
          <w:szCs w:val="22"/>
        </w:rPr>
        <w:t>ú</w:t>
      </w:r>
      <w:r w:rsidR="004165B2" w:rsidRPr="0043703E">
        <w:rPr>
          <w:i/>
          <w:sz w:val="22"/>
          <w:szCs w:val="22"/>
        </w:rPr>
        <w:t xml:space="preserve">b </w:t>
      </w:r>
      <w:r w:rsidR="004165B2" w:rsidRPr="0043703E">
        <w:rPr>
          <w:i/>
          <w:sz w:val="22"/>
          <w:szCs w:val="22"/>
          <w:u w:val="single"/>
        </w:rPr>
        <w:t>sh</w:t>
      </w:r>
      <w:r w:rsidR="004165B2" w:rsidRPr="0043703E">
        <w:rPr>
          <w:i/>
          <w:sz w:val="22"/>
          <w:szCs w:val="22"/>
        </w:rPr>
        <w:t>ud</w:t>
      </w:r>
      <w:r w:rsidR="004165B2" w:rsidRPr="0043703E">
        <w:rPr>
          <w:sz w:val="22"/>
          <w:szCs w:val="22"/>
        </w:rPr>
        <w:t xml:space="preserve">) [by </w:t>
      </w:r>
      <w:r w:rsidR="00FA6F35" w:rsidRPr="0043703E">
        <w:rPr>
          <w:sz w:val="22"/>
          <w:szCs w:val="22"/>
        </w:rPr>
        <w:t>‘</w:t>
      </w:r>
      <w:r w:rsidR="004165B2" w:rsidRPr="0043703E">
        <w:rPr>
          <w:sz w:val="22"/>
          <w:szCs w:val="22"/>
        </w:rPr>
        <w:t>Abdu’l-Bahá] that he paid a return visit; he was humble and lowly (</w:t>
      </w:r>
      <w:proofErr w:type="gramStart"/>
      <w:r w:rsidR="004165B2" w:rsidRPr="0043703E">
        <w:rPr>
          <w:i/>
          <w:sz w:val="22"/>
          <w:szCs w:val="22"/>
          <w:u w:val="single"/>
        </w:rPr>
        <w:t>kh</w:t>
      </w:r>
      <w:r w:rsidR="00FA6F35" w:rsidRPr="0043703E">
        <w:rPr>
          <w:i/>
          <w:sz w:val="22"/>
          <w:szCs w:val="22"/>
        </w:rPr>
        <w:t>áḍ</w:t>
      </w:r>
      <w:r w:rsidR="004165B2" w:rsidRPr="0043703E">
        <w:rPr>
          <w:i/>
          <w:sz w:val="22"/>
          <w:szCs w:val="22"/>
        </w:rPr>
        <w:t>i</w:t>
      </w:r>
      <w:r w:rsidR="00FA6F35" w:rsidRPr="0043703E">
        <w:rPr>
          <w:i/>
          <w:sz w:val="22"/>
          <w:szCs w:val="22"/>
        </w:rPr>
        <w:t>‘</w:t>
      </w:r>
      <w:r w:rsidR="004165B2" w:rsidRPr="0043703E">
        <w:rPr>
          <w:i/>
          <w:sz w:val="22"/>
          <w:szCs w:val="22"/>
        </w:rPr>
        <w:t xml:space="preserve"> wa</w:t>
      </w:r>
      <w:proofErr w:type="gramEnd"/>
      <w:r w:rsidR="004165B2" w:rsidRPr="0043703E">
        <w:rPr>
          <w:i/>
          <w:sz w:val="22"/>
          <w:szCs w:val="22"/>
        </w:rPr>
        <w:t xml:space="preserve"> </w:t>
      </w:r>
      <w:r w:rsidR="004165B2" w:rsidRPr="0043703E">
        <w:rPr>
          <w:i/>
          <w:sz w:val="22"/>
          <w:szCs w:val="22"/>
          <w:u w:val="single"/>
        </w:rPr>
        <w:t>kh</w:t>
      </w:r>
      <w:r w:rsidR="00FA6F35" w:rsidRPr="0043703E">
        <w:rPr>
          <w:i/>
          <w:sz w:val="22"/>
          <w:szCs w:val="22"/>
        </w:rPr>
        <w:t>á</w:t>
      </w:r>
      <w:r w:rsidR="004165B2" w:rsidRPr="0043703E">
        <w:rPr>
          <w:i/>
          <w:sz w:val="22"/>
          <w:szCs w:val="22"/>
          <w:u w:val="single"/>
        </w:rPr>
        <w:t>sh</w:t>
      </w:r>
      <w:r w:rsidR="004165B2" w:rsidRPr="0043703E">
        <w:rPr>
          <w:i/>
          <w:sz w:val="22"/>
          <w:szCs w:val="22"/>
        </w:rPr>
        <w:t>i</w:t>
      </w:r>
      <w:r w:rsidR="00FA6F35" w:rsidRPr="0043703E">
        <w:rPr>
          <w:i/>
          <w:sz w:val="22"/>
          <w:szCs w:val="22"/>
        </w:rPr>
        <w:t>‘</w:t>
      </w:r>
      <w:r w:rsidR="004165B2" w:rsidRPr="0043703E">
        <w:rPr>
          <w:i/>
          <w:sz w:val="22"/>
          <w:szCs w:val="22"/>
        </w:rPr>
        <w:t xml:space="preserve"> ga</w:t>
      </w:r>
      <w:r w:rsidR="004165B2" w:rsidRPr="0043703E">
        <w:rPr>
          <w:i/>
          <w:sz w:val="22"/>
          <w:szCs w:val="22"/>
          <w:u w:val="single"/>
        </w:rPr>
        <w:t>sh</w:t>
      </w:r>
      <w:r w:rsidR="004165B2" w:rsidRPr="0043703E">
        <w:rPr>
          <w:i/>
          <w:sz w:val="22"/>
          <w:szCs w:val="22"/>
        </w:rPr>
        <w:t>t</w:t>
      </w:r>
      <w:r w:rsidR="004165B2" w:rsidRPr="0043703E">
        <w:rPr>
          <w:sz w:val="22"/>
          <w:szCs w:val="22"/>
        </w:rPr>
        <w:t>).  During the two or three days he stayed, he was for the most part honoured by ‘Abdu’l-Bahá’s presence.  He asked [‘Abdu’l-Bahá] to accompany him and adorn Beirut with His blessed arrival (</w:t>
      </w:r>
      <w:r w:rsidR="004165B2" w:rsidRPr="0043703E">
        <w:rPr>
          <w:i/>
          <w:sz w:val="22"/>
          <w:szCs w:val="22"/>
        </w:rPr>
        <w:t>bi-maqdam-i</w:t>
      </w:r>
      <w:r w:rsidR="00FA6F35" w:rsidRPr="0043703E">
        <w:rPr>
          <w:i/>
          <w:sz w:val="22"/>
          <w:szCs w:val="22"/>
        </w:rPr>
        <w:t>-</w:t>
      </w:r>
      <w:r w:rsidR="004165B2" w:rsidRPr="0043703E">
        <w:rPr>
          <w:i/>
          <w:sz w:val="22"/>
          <w:szCs w:val="22"/>
        </w:rPr>
        <w:t>mub</w:t>
      </w:r>
      <w:r w:rsidR="00FA6F35" w:rsidRPr="0043703E">
        <w:rPr>
          <w:i/>
          <w:sz w:val="22"/>
          <w:szCs w:val="22"/>
        </w:rPr>
        <w:t>á</w:t>
      </w:r>
      <w:r w:rsidR="004165B2" w:rsidRPr="0043703E">
        <w:rPr>
          <w:i/>
          <w:sz w:val="22"/>
          <w:szCs w:val="22"/>
        </w:rPr>
        <w:t>rak muzayyan farm</w:t>
      </w:r>
      <w:r w:rsidR="00FA6F35" w:rsidRPr="0043703E">
        <w:rPr>
          <w:i/>
          <w:sz w:val="22"/>
          <w:szCs w:val="22"/>
        </w:rPr>
        <w:t>á</w:t>
      </w:r>
      <w:r w:rsidR="004165B2" w:rsidRPr="0043703E">
        <w:rPr>
          <w:i/>
          <w:sz w:val="22"/>
          <w:szCs w:val="22"/>
        </w:rPr>
        <w:t>yand</w:t>
      </w:r>
      <w:r w:rsidR="004165B2" w:rsidRPr="0043703E">
        <w:rPr>
          <w:sz w:val="22"/>
          <w:szCs w:val="22"/>
        </w:rPr>
        <w:t>).  He [`Abdu’l-Bahá] excused Himself.  He [Mid</w:t>
      </w:r>
      <w:r w:rsidR="00FA6F35" w:rsidRPr="0043703E">
        <w:rPr>
          <w:sz w:val="22"/>
          <w:szCs w:val="22"/>
        </w:rPr>
        <w:t>h</w:t>
      </w:r>
      <w:r w:rsidR="004165B2" w:rsidRPr="0043703E">
        <w:rPr>
          <w:sz w:val="22"/>
          <w:szCs w:val="22"/>
        </w:rPr>
        <w:t>at] wrote from Beirut:</w:t>
      </w:r>
    </w:p>
    <w:p w14:paraId="44478FD5" w14:textId="77777777" w:rsidR="004165B2" w:rsidRPr="0043703E" w:rsidRDefault="004165B2" w:rsidP="0043703E">
      <w:pPr>
        <w:pStyle w:val="Quote"/>
        <w:spacing w:line="264" w:lineRule="auto"/>
        <w:rPr>
          <w:sz w:val="22"/>
          <w:szCs w:val="22"/>
        </w:rPr>
      </w:pPr>
      <w:r w:rsidRPr="0043703E">
        <w:rPr>
          <w:sz w:val="22"/>
          <w:szCs w:val="22"/>
        </w:rPr>
        <w:t>The desire of meeting thee made my soul to be at death’s door</w:t>
      </w:r>
      <w:r w:rsidR="00946CBB" w:rsidRPr="0043703E">
        <w:rPr>
          <w:sz w:val="22"/>
          <w:szCs w:val="22"/>
        </w:rPr>
        <w:br/>
      </w:r>
      <w:r w:rsidRPr="0043703E">
        <w:rPr>
          <w:sz w:val="22"/>
          <w:szCs w:val="22"/>
        </w:rPr>
        <w:t>Should it return or enter, what is thy command?</w:t>
      </w:r>
      <w:r w:rsidR="00946CBB" w:rsidRPr="0043703E">
        <w:rPr>
          <w:rStyle w:val="FootnoteReference"/>
          <w:sz w:val="22"/>
          <w:szCs w:val="22"/>
        </w:rPr>
        <w:footnoteReference w:id="52"/>
      </w:r>
    </w:p>
    <w:p w14:paraId="0865B1ED" w14:textId="77777777" w:rsidR="004165B2" w:rsidRPr="0043703E" w:rsidRDefault="004165B2" w:rsidP="0043703E">
      <w:pPr>
        <w:pStyle w:val="Text"/>
        <w:spacing w:line="264" w:lineRule="auto"/>
        <w:rPr>
          <w:sz w:val="22"/>
          <w:szCs w:val="22"/>
        </w:rPr>
      </w:pPr>
      <w:r w:rsidRPr="0043703E">
        <w:rPr>
          <w:sz w:val="22"/>
          <w:szCs w:val="22"/>
        </w:rPr>
        <w:t>The Ancient Beauty (</w:t>
      </w:r>
      <w:r w:rsidRPr="0043703E">
        <w:rPr>
          <w:i/>
          <w:sz w:val="22"/>
          <w:szCs w:val="22"/>
        </w:rPr>
        <w:t>Jam</w:t>
      </w:r>
      <w:r w:rsidR="00067E82" w:rsidRPr="0043703E">
        <w:rPr>
          <w:i/>
          <w:sz w:val="22"/>
          <w:szCs w:val="22"/>
        </w:rPr>
        <w:t>á</w:t>
      </w:r>
      <w:r w:rsidRPr="0043703E">
        <w:rPr>
          <w:i/>
          <w:sz w:val="22"/>
          <w:szCs w:val="22"/>
        </w:rPr>
        <w:t>l-i</w:t>
      </w:r>
      <w:r w:rsidR="00067E82" w:rsidRPr="0043703E">
        <w:rPr>
          <w:i/>
          <w:sz w:val="22"/>
          <w:szCs w:val="22"/>
        </w:rPr>
        <w:t>-</w:t>
      </w:r>
      <w:r w:rsidRPr="0043703E">
        <w:rPr>
          <w:i/>
          <w:sz w:val="22"/>
          <w:szCs w:val="22"/>
        </w:rPr>
        <w:t>Mub</w:t>
      </w:r>
      <w:r w:rsidR="00067E82" w:rsidRPr="0043703E">
        <w:rPr>
          <w:i/>
          <w:sz w:val="22"/>
          <w:szCs w:val="22"/>
        </w:rPr>
        <w:t>á</w:t>
      </w:r>
      <w:r w:rsidRPr="0043703E">
        <w:rPr>
          <w:i/>
          <w:sz w:val="22"/>
          <w:szCs w:val="22"/>
        </w:rPr>
        <w:t>rak</w:t>
      </w:r>
      <w:r w:rsidRPr="0043703E">
        <w:rPr>
          <w:sz w:val="22"/>
          <w:szCs w:val="22"/>
        </w:rPr>
        <w:t xml:space="preserve">, </w:t>
      </w:r>
      <w:proofErr w:type="gramStart"/>
      <w:r w:rsidRPr="0043703E">
        <w:rPr>
          <w:sz w:val="22"/>
          <w:szCs w:val="22"/>
        </w:rPr>
        <w:t>i.e.</w:t>
      </w:r>
      <w:proofErr w:type="gramEnd"/>
      <w:r w:rsidRPr="0043703E">
        <w:rPr>
          <w:sz w:val="22"/>
          <w:szCs w:val="22"/>
        </w:rPr>
        <w:t xml:space="preserve"> Bahá’u’lláh), therefore, bade Him to honour Beirut with His visit (</w:t>
      </w:r>
      <w:r w:rsidRPr="0043703E">
        <w:rPr>
          <w:i/>
          <w:sz w:val="22"/>
          <w:szCs w:val="22"/>
        </w:rPr>
        <w:t>amr farm</w:t>
      </w:r>
      <w:r w:rsidR="002141E8" w:rsidRPr="0043703E">
        <w:rPr>
          <w:i/>
          <w:sz w:val="22"/>
          <w:szCs w:val="22"/>
        </w:rPr>
        <w:t>ú</w:t>
      </w:r>
      <w:r w:rsidRPr="0043703E">
        <w:rPr>
          <w:i/>
          <w:sz w:val="22"/>
          <w:szCs w:val="22"/>
        </w:rPr>
        <w:t>dand ta</w:t>
      </w:r>
      <w:r w:rsidRPr="0043703E">
        <w:rPr>
          <w:i/>
          <w:sz w:val="22"/>
          <w:szCs w:val="22"/>
          <w:u w:val="single"/>
        </w:rPr>
        <w:t>sh</w:t>
      </w:r>
      <w:r w:rsidRPr="0043703E">
        <w:rPr>
          <w:i/>
          <w:sz w:val="22"/>
          <w:szCs w:val="22"/>
        </w:rPr>
        <w:t>r</w:t>
      </w:r>
      <w:r w:rsidR="002141E8" w:rsidRPr="0043703E">
        <w:rPr>
          <w:i/>
          <w:sz w:val="22"/>
          <w:szCs w:val="22"/>
        </w:rPr>
        <w:t>í</w:t>
      </w:r>
      <w:r w:rsidRPr="0043703E">
        <w:rPr>
          <w:i/>
          <w:sz w:val="22"/>
          <w:szCs w:val="22"/>
        </w:rPr>
        <w:t>f-farm</w:t>
      </w:r>
      <w:r w:rsidR="002141E8" w:rsidRPr="0043703E">
        <w:rPr>
          <w:i/>
          <w:sz w:val="22"/>
          <w:szCs w:val="22"/>
        </w:rPr>
        <w:t>á</w:t>
      </w:r>
      <w:r w:rsidRPr="0043703E">
        <w:rPr>
          <w:i/>
          <w:sz w:val="22"/>
          <w:szCs w:val="22"/>
        </w:rPr>
        <w:t>-yi</w:t>
      </w:r>
      <w:r w:rsidR="002141E8" w:rsidRPr="0043703E">
        <w:rPr>
          <w:i/>
          <w:sz w:val="22"/>
          <w:szCs w:val="22"/>
        </w:rPr>
        <w:t>-</w:t>
      </w:r>
      <w:r w:rsidRPr="0043703E">
        <w:rPr>
          <w:i/>
          <w:sz w:val="22"/>
          <w:szCs w:val="22"/>
        </w:rPr>
        <w:t>bayr</w:t>
      </w:r>
      <w:r w:rsidR="002141E8" w:rsidRPr="0043703E">
        <w:rPr>
          <w:i/>
          <w:sz w:val="22"/>
          <w:szCs w:val="22"/>
        </w:rPr>
        <w:t>ú</w:t>
      </w:r>
      <w:r w:rsidRPr="0043703E">
        <w:rPr>
          <w:i/>
          <w:sz w:val="22"/>
          <w:szCs w:val="22"/>
        </w:rPr>
        <w:t xml:space="preserve">t </w:t>
      </w:r>
      <w:r w:rsidRPr="0043703E">
        <w:rPr>
          <w:i/>
          <w:sz w:val="22"/>
          <w:szCs w:val="22"/>
          <w:u w:val="single"/>
        </w:rPr>
        <w:t>sh</w:t>
      </w:r>
      <w:r w:rsidRPr="0043703E">
        <w:rPr>
          <w:i/>
          <w:sz w:val="22"/>
          <w:szCs w:val="22"/>
        </w:rPr>
        <w:t>awand</w:t>
      </w:r>
      <w:r w:rsidRPr="0043703E">
        <w:rPr>
          <w:sz w:val="22"/>
          <w:szCs w:val="22"/>
        </w:rPr>
        <w:t>).  He was in Beirut when this holy and exalted Tablet [</w:t>
      </w:r>
      <w:r w:rsidR="00A6035C" w:rsidRPr="0043703E">
        <w:rPr>
          <w:i/>
          <w:sz w:val="22"/>
          <w:szCs w:val="22"/>
        </w:rPr>
        <w:t>Lawḥ-i-Arḍ-i-Bá</w:t>
      </w:r>
      <w:r w:rsidRPr="0043703E">
        <w:rPr>
          <w:sz w:val="22"/>
          <w:szCs w:val="22"/>
        </w:rPr>
        <w:t xml:space="preserve">] flung open a </w:t>
      </w:r>
      <w:proofErr w:type="gramStart"/>
      <w:r w:rsidRPr="0043703E">
        <w:rPr>
          <w:sz w:val="22"/>
          <w:szCs w:val="22"/>
        </w:rPr>
        <w:t>myriad doors of this visible existent world</w:t>
      </w:r>
      <w:proofErr w:type="gramEnd"/>
      <w:r w:rsidRPr="0043703E">
        <w:rPr>
          <w:sz w:val="22"/>
          <w:szCs w:val="22"/>
        </w:rPr>
        <w:t>, nay, the Kingdom of God, to the face of men.  It testifies that His [‘Abdu’l-Bahá’s] servitude (</w:t>
      </w:r>
      <w:r w:rsidRPr="0043703E">
        <w:rPr>
          <w:i/>
          <w:sz w:val="22"/>
          <w:szCs w:val="22"/>
        </w:rPr>
        <w:t>‘ub</w:t>
      </w:r>
      <w:r w:rsidR="002141E8" w:rsidRPr="0043703E">
        <w:rPr>
          <w:i/>
          <w:sz w:val="22"/>
          <w:szCs w:val="22"/>
        </w:rPr>
        <w:t>ú</w:t>
      </w:r>
      <w:r w:rsidRPr="0043703E">
        <w:rPr>
          <w:i/>
          <w:sz w:val="22"/>
          <w:szCs w:val="22"/>
        </w:rPr>
        <w:t>diyyat</w:t>
      </w:r>
      <w:r w:rsidRPr="0043703E">
        <w:rPr>
          <w:sz w:val="22"/>
          <w:szCs w:val="22"/>
        </w:rPr>
        <w:t>), selflessness (</w:t>
      </w:r>
      <w:r w:rsidRPr="0043703E">
        <w:rPr>
          <w:i/>
          <w:sz w:val="22"/>
          <w:szCs w:val="22"/>
        </w:rPr>
        <w:t>fan</w:t>
      </w:r>
      <w:r w:rsidR="002141E8" w:rsidRPr="0043703E">
        <w:rPr>
          <w:i/>
          <w:sz w:val="22"/>
          <w:szCs w:val="22"/>
        </w:rPr>
        <w:t>á</w:t>
      </w:r>
      <w:r w:rsidRPr="0043703E">
        <w:rPr>
          <w:sz w:val="22"/>
          <w:szCs w:val="22"/>
        </w:rPr>
        <w:t>), complete self-effacement (</w:t>
      </w:r>
      <w:r w:rsidRPr="0043703E">
        <w:rPr>
          <w:i/>
          <w:sz w:val="22"/>
          <w:szCs w:val="22"/>
        </w:rPr>
        <w:t>ma</w:t>
      </w:r>
      <w:r w:rsidR="002141E8" w:rsidRPr="0043703E">
        <w:rPr>
          <w:i/>
          <w:sz w:val="22"/>
          <w:szCs w:val="22"/>
        </w:rPr>
        <w:t>ḥ</w:t>
      </w:r>
      <w:r w:rsidRPr="0043703E">
        <w:rPr>
          <w:i/>
          <w:sz w:val="22"/>
          <w:szCs w:val="22"/>
        </w:rPr>
        <w:t>wiyyat</w:t>
      </w:r>
      <w:r w:rsidRPr="0043703E">
        <w:rPr>
          <w:sz w:val="22"/>
          <w:szCs w:val="22"/>
        </w:rPr>
        <w:t>) and detachment (</w:t>
      </w:r>
      <w:proofErr w:type="gramStart"/>
      <w:r w:rsidRPr="0043703E">
        <w:rPr>
          <w:i/>
          <w:sz w:val="22"/>
          <w:szCs w:val="22"/>
        </w:rPr>
        <w:t>in</w:t>
      </w:r>
      <w:r w:rsidR="002141E8" w:rsidRPr="0043703E">
        <w:rPr>
          <w:i/>
          <w:sz w:val="22"/>
          <w:szCs w:val="22"/>
        </w:rPr>
        <w:t>‘</w:t>
      </w:r>
      <w:proofErr w:type="gramEnd"/>
      <w:r w:rsidRPr="0043703E">
        <w:rPr>
          <w:i/>
          <w:sz w:val="22"/>
          <w:szCs w:val="22"/>
        </w:rPr>
        <w:t>id</w:t>
      </w:r>
      <w:r w:rsidR="002141E8" w:rsidRPr="0043703E">
        <w:rPr>
          <w:i/>
          <w:sz w:val="22"/>
          <w:szCs w:val="22"/>
        </w:rPr>
        <w:t>á</w:t>
      </w:r>
      <w:r w:rsidRPr="0043703E">
        <w:rPr>
          <w:i/>
          <w:sz w:val="22"/>
          <w:szCs w:val="22"/>
        </w:rPr>
        <w:t>m</w:t>
      </w:r>
      <w:r w:rsidRPr="0043703E">
        <w:rPr>
          <w:sz w:val="22"/>
          <w:szCs w:val="22"/>
        </w:rPr>
        <w:t>) had no peer and will have no equal:</w:t>
      </w:r>
    </w:p>
    <w:p w14:paraId="406798E1" w14:textId="77777777" w:rsidR="004165B2" w:rsidRPr="0043703E" w:rsidRDefault="004165B2" w:rsidP="0043703E">
      <w:pPr>
        <w:pStyle w:val="Quote"/>
        <w:spacing w:line="264" w:lineRule="auto"/>
        <w:rPr>
          <w:sz w:val="22"/>
          <w:szCs w:val="22"/>
        </w:rPr>
      </w:pPr>
      <w:r w:rsidRPr="0043703E">
        <w:rPr>
          <w:sz w:val="22"/>
          <w:szCs w:val="22"/>
        </w:rPr>
        <w:t xml:space="preserve">He is God, </w:t>
      </w:r>
      <w:proofErr w:type="gramStart"/>
      <w:r w:rsidRPr="0043703E">
        <w:rPr>
          <w:sz w:val="22"/>
          <w:szCs w:val="22"/>
        </w:rPr>
        <w:t>Glorified</w:t>
      </w:r>
      <w:proofErr w:type="gramEnd"/>
      <w:r w:rsidRPr="0043703E">
        <w:rPr>
          <w:sz w:val="22"/>
          <w:szCs w:val="22"/>
        </w:rPr>
        <w:t xml:space="preserve"> be He, Grandeur and Might are His!</w:t>
      </w:r>
      <w:r w:rsidR="0011174C" w:rsidRPr="0043703E">
        <w:rPr>
          <w:rStyle w:val="FootnoteReference"/>
          <w:sz w:val="22"/>
          <w:szCs w:val="22"/>
        </w:rPr>
        <w:footnoteReference w:id="53"/>
      </w:r>
    </w:p>
    <w:p w14:paraId="6160CA06" w14:textId="77777777" w:rsidR="004165B2" w:rsidRPr="0043703E" w:rsidRDefault="004165B2" w:rsidP="0043703E">
      <w:pPr>
        <w:pStyle w:val="Quote"/>
        <w:spacing w:line="264" w:lineRule="auto"/>
        <w:rPr>
          <w:sz w:val="22"/>
          <w:szCs w:val="22"/>
        </w:rPr>
      </w:pPr>
      <w:r w:rsidRPr="0043703E">
        <w:rPr>
          <w:sz w:val="22"/>
          <w:szCs w:val="22"/>
        </w:rPr>
        <w:t>Praise be to Him Who hath honoured the Land of B</w:t>
      </w:r>
      <w:r w:rsidR="00996272" w:rsidRPr="0043703E">
        <w:rPr>
          <w:sz w:val="22"/>
          <w:szCs w:val="22"/>
        </w:rPr>
        <w:t>á</w:t>
      </w:r>
      <w:r w:rsidR="0011174C" w:rsidRPr="0043703E">
        <w:rPr>
          <w:rStyle w:val="FootnoteReference"/>
          <w:sz w:val="22"/>
          <w:szCs w:val="22"/>
        </w:rPr>
        <w:footnoteReference w:id="54"/>
      </w:r>
      <w:r w:rsidRPr="0043703E">
        <w:rPr>
          <w:sz w:val="22"/>
          <w:szCs w:val="22"/>
        </w:rPr>
        <w:t xml:space="preserve"> through the presence of Him round Whom all names revolve.  All the atoms of the earth have announced unto all created things that from behind the gate of the Prison-city there hath appeared and above its horizon there hath shone forth</w:t>
      </w:r>
      <w:r w:rsidR="00946AA5" w:rsidRPr="0043703E">
        <w:rPr>
          <w:rStyle w:val="FootnoteReference"/>
          <w:sz w:val="22"/>
          <w:szCs w:val="22"/>
        </w:rPr>
        <w:footnoteReference w:id="55"/>
      </w:r>
      <w:r w:rsidRPr="0043703E">
        <w:rPr>
          <w:sz w:val="22"/>
          <w:szCs w:val="22"/>
        </w:rPr>
        <w:t xml:space="preserve"> the Orb of the beauty of the great, the </w:t>
      </w:r>
      <w:proofErr w:type="gramStart"/>
      <w:r w:rsidRPr="0043703E">
        <w:rPr>
          <w:sz w:val="22"/>
          <w:szCs w:val="22"/>
        </w:rPr>
        <w:t>Most Mighty</w:t>
      </w:r>
      <w:proofErr w:type="gramEnd"/>
      <w:r w:rsidRPr="0043703E">
        <w:rPr>
          <w:sz w:val="22"/>
          <w:szCs w:val="22"/>
        </w:rPr>
        <w:t xml:space="preserve"> Branch of God—His ancient and immutable Mystery—proceeding on its way to another land.  Sorrow, thereby, hath enveloped this Prison-city, whilst another land rejoiceth.  Exalted, immeasurably exalted is our Lord, the Fashioner of the heavens and the Creator of all things, He through Whose sovereignty the doors of the prison were opened, thereby causing what was promised aforetime in the Tablets to be fulfilled.  He is verily potent over what He willeth, and in His grasp is the dominion of the entire creation.  He is the All-Powerful, the All-Knowing, the All-Wise.</w:t>
      </w:r>
    </w:p>
    <w:p w14:paraId="593343A9" w14:textId="77777777" w:rsidR="004165B2" w:rsidRPr="0043703E" w:rsidRDefault="004165B2" w:rsidP="0043703E">
      <w:pPr>
        <w:pStyle w:val="Quote"/>
        <w:spacing w:line="264" w:lineRule="auto"/>
        <w:rPr>
          <w:sz w:val="22"/>
          <w:szCs w:val="22"/>
        </w:rPr>
      </w:pPr>
      <w:r w:rsidRPr="0043703E">
        <w:rPr>
          <w:sz w:val="22"/>
          <w:szCs w:val="22"/>
        </w:rPr>
        <w:t>Blessed, doubly blessed, is the ground which His footsteps have trodden, the eye that hath been cheered by the beauty of His countenance, the ear that hath been honoured by hearkening to His call, the heart that hath tasted the sweetness of His love, the breast that hath dilated through His remembrance, the pen that hath voiced His praise, the scroll that hath borne the testimony of His writings.  We beseech God—blessed and exalted be He—that</w:t>
      </w:r>
      <w:r w:rsidR="00946AA5" w:rsidRPr="0043703E">
        <w:rPr>
          <w:rStyle w:val="FootnoteReference"/>
          <w:sz w:val="22"/>
          <w:szCs w:val="22"/>
        </w:rPr>
        <w:footnoteReference w:id="56"/>
      </w:r>
      <w:r w:rsidRPr="0043703E">
        <w:rPr>
          <w:sz w:val="22"/>
          <w:szCs w:val="22"/>
        </w:rPr>
        <w:t xml:space="preserve"> He may honour us with meeting Him soon.  He is, in truth, the All-Hearing, the All-Powerful, He Who is ready to answer.</w:t>
      </w:r>
      <w:r w:rsidR="00946AA5" w:rsidRPr="0043703E">
        <w:rPr>
          <w:rStyle w:val="FootnoteReference"/>
          <w:sz w:val="22"/>
          <w:szCs w:val="22"/>
        </w:rPr>
        <w:footnoteReference w:id="57"/>
      </w:r>
    </w:p>
    <w:p w14:paraId="1EB7916C" w14:textId="77777777" w:rsidR="004165B2" w:rsidRPr="0043703E" w:rsidRDefault="006A3E81" w:rsidP="0043703E">
      <w:pPr>
        <w:pStyle w:val="Quote"/>
        <w:spacing w:line="264" w:lineRule="auto"/>
        <w:rPr>
          <w:sz w:val="22"/>
          <w:szCs w:val="22"/>
        </w:rPr>
      </w:pPr>
      <w:r w:rsidRPr="0043703E">
        <w:rPr>
          <w:sz w:val="22"/>
          <w:szCs w:val="22"/>
        </w:rPr>
        <w:br w:type="page"/>
      </w:r>
      <w:r w:rsidR="004165B2" w:rsidRPr="0043703E">
        <w:rPr>
          <w:sz w:val="22"/>
          <w:szCs w:val="22"/>
        </w:rPr>
        <w:lastRenderedPageBreak/>
        <w:t>This wise old vizier (</w:t>
      </w:r>
      <w:r w:rsidR="004165B2" w:rsidRPr="0043703E">
        <w:rPr>
          <w:i/>
          <w:sz w:val="22"/>
          <w:szCs w:val="22"/>
        </w:rPr>
        <w:t>waz</w:t>
      </w:r>
      <w:r w:rsidR="00CB4D68" w:rsidRPr="0043703E">
        <w:rPr>
          <w:i/>
          <w:sz w:val="22"/>
          <w:szCs w:val="22"/>
        </w:rPr>
        <w:t>í</w:t>
      </w:r>
      <w:r w:rsidR="004165B2" w:rsidRPr="0043703E">
        <w:rPr>
          <w:i/>
          <w:sz w:val="22"/>
          <w:szCs w:val="22"/>
        </w:rPr>
        <w:t>r-i</w:t>
      </w:r>
      <w:r w:rsidR="00CB4D68" w:rsidRPr="0043703E">
        <w:rPr>
          <w:i/>
          <w:sz w:val="22"/>
          <w:szCs w:val="22"/>
        </w:rPr>
        <w:t>-</w:t>
      </w:r>
      <w:r w:rsidR="004165B2" w:rsidRPr="0043703E">
        <w:rPr>
          <w:i/>
          <w:sz w:val="22"/>
          <w:szCs w:val="22"/>
          <w:u w:val="single"/>
        </w:rPr>
        <w:t>kh</w:t>
      </w:r>
      <w:r w:rsidR="004165B2" w:rsidRPr="0043703E">
        <w:rPr>
          <w:i/>
          <w:sz w:val="22"/>
          <w:szCs w:val="22"/>
        </w:rPr>
        <w:t>irad-p</w:t>
      </w:r>
      <w:r w:rsidR="00CB4D68" w:rsidRPr="0043703E">
        <w:rPr>
          <w:i/>
          <w:sz w:val="22"/>
          <w:szCs w:val="22"/>
        </w:rPr>
        <w:t>í</w:t>
      </w:r>
      <w:r w:rsidR="004165B2" w:rsidRPr="0043703E">
        <w:rPr>
          <w:i/>
          <w:sz w:val="22"/>
          <w:szCs w:val="22"/>
        </w:rPr>
        <w:t>r</w:t>
      </w:r>
      <w:r w:rsidR="004165B2" w:rsidRPr="0043703E">
        <w:rPr>
          <w:sz w:val="22"/>
          <w:szCs w:val="22"/>
        </w:rPr>
        <w:t>) wrote to the Sublime Porte [Ottoman Government] (</w:t>
      </w:r>
      <w:r w:rsidR="004165B2" w:rsidRPr="0043703E">
        <w:rPr>
          <w:i/>
          <w:sz w:val="22"/>
          <w:szCs w:val="22"/>
        </w:rPr>
        <w:t>bi</w:t>
      </w:r>
      <w:proofErr w:type="gramStart"/>
      <w:r w:rsidR="004165B2" w:rsidRPr="0043703E">
        <w:rPr>
          <w:i/>
          <w:sz w:val="22"/>
          <w:szCs w:val="22"/>
        </w:rPr>
        <w:t>-</w:t>
      </w:r>
      <w:r w:rsidR="00CB4D68" w:rsidRPr="0043703E">
        <w:rPr>
          <w:i/>
          <w:sz w:val="22"/>
          <w:szCs w:val="22"/>
        </w:rPr>
        <w:t>‘</w:t>
      </w:r>
      <w:proofErr w:type="gramEnd"/>
      <w:r w:rsidR="004165B2" w:rsidRPr="0043703E">
        <w:rPr>
          <w:i/>
          <w:sz w:val="22"/>
          <w:szCs w:val="22"/>
        </w:rPr>
        <w:t>aliyyih niwi</w:t>
      </w:r>
      <w:r w:rsidR="004165B2" w:rsidRPr="0043703E">
        <w:rPr>
          <w:i/>
          <w:sz w:val="22"/>
          <w:szCs w:val="22"/>
          <w:u w:val="single"/>
        </w:rPr>
        <w:t>sh</w:t>
      </w:r>
      <w:r w:rsidR="004165B2" w:rsidRPr="0043703E">
        <w:rPr>
          <w:i/>
          <w:sz w:val="22"/>
          <w:szCs w:val="22"/>
        </w:rPr>
        <w:t>t</w:t>
      </w:r>
      <w:r w:rsidR="004165B2" w:rsidRPr="0043703E">
        <w:rPr>
          <w:sz w:val="22"/>
          <w:szCs w:val="22"/>
        </w:rPr>
        <w:t>) that ‘Akká is an important trade centre (</w:t>
      </w:r>
      <w:r w:rsidR="004165B2" w:rsidRPr="0043703E">
        <w:rPr>
          <w:i/>
          <w:sz w:val="22"/>
          <w:szCs w:val="22"/>
        </w:rPr>
        <w:t>mawqi</w:t>
      </w:r>
      <w:r w:rsidR="00CB4D68" w:rsidRPr="0043703E">
        <w:rPr>
          <w:i/>
          <w:sz w:val="22"/>
          <w:szCs w:val="22"/>
        </w:rPr>
        <w:t>‘</w:t>
      </w:r>
      <w:r w:rsidR="004165B2" w:rsidRPr="0043703E">
        <w:rPr>
          <w:i/>
          <w:sz w:val="22"/>
          <w:szCs w:val="22"/>
        </w:rPr>
        <w:t>-i</w:t>
      </w:r>
      <w:r w:rsidR="00CB4D68" w:rsidRPr="0043703E">
        <w:rPr>
          <w:i/>
          <w:sz w:val="22"/>
          <w:szCs w:val="22"/>
        </w:rPr>
        <w:t>-</w:t>
      </w:r>
      <w:r w:rsidR="004165B2" w:rsidRPr="0043703E">
        <w:rPr>
          <w:i/>
          <w:sz w:val="22"/>
          <w:szCs w:val="22"/>
        </w:rPr>
        <w:t>tij</w:t>
      </w:r>
      <w:r w:rsidR="00CB4D68" w:rsidRPr="0043703E">
        <w:rPr>
          <w:i/>
          <w:sz w:val="22"/>
          <w:szCs w:val="22"/>
        </w:rPr>
        <w:t>á</w:t>
      </w:r>
      <w:r w:rsidR="004165B2" w:rsidRPr="0043703E">
        <w:rPr>
          <w:i/>
          <w:sz w:val="22"/>
          <w:szCs w:val="22"/>
        </w:rPr>
        <w:t>r</w:t>
      </w:r>
      <w:r w:rsidR="00CB4D68" w:rsidRPr="0043703E">
        <w:rPr>
          <w:i/>
          <w:sz w:val="22"/>
          <w:szCs w:val="22"/>
        </w:rPr>
        <w:t>á</w:t>
      </w:r>
      <w:r w:rsidR="004165B2" w:rsidRPr="0043703E">
        <w:rPr>
          <w:i/>
          <w:sz w:val="22"/>
          <w:szCs w:val="22"/>
        </w:rPr>
        <w:t>t-i</w:t>
      </w:r>
      <w:r w:rsidR="00CB4D68" w:rsidRPr="0043703E">
        <w:rPr>
          <w:i/>
          <w:sz w:val="22"/>
          <w:szCs w:val="22"/>
        </w:rPr>
        <w:t>-</w:t>
      </w:r>
      <w:r w:rsidR="004165B2" w:rsidRPr="0043703E">
        <w:rPr>
          <w:i/>
          <w:sz w:val="22"/>
          <w:szCs w:val="22"/>
        </w:rPr>
        <w:t>‘</w:t>
      </w:r>
      <w:r w:rsidR="00CB4D68" w:rsidRPr="0043703E">
        <w:rPr>
          <w:i/>
          <w:sz w:val="22"/>
          <w:szCs w:val="22"/>
        </w:rPr>
        <w:t>aẓí</w:t>
      </w:r>
      <w:r w:rsidR="004165B2" w:rsidRPr="0043703E">
        <w:rPr>
          <w:i/>
          <w:sz w:val="22"/>
          <w:szCs w:val="22"/>
        </w:rPr>
        <w:t>mih</w:t>
      </w:r>
      <w:r w:rsidR="004165B2" w:rsidRPr="0043703E">
        <w:rPr>
          <w:sz w:val="22"/>
          <w:szCs w:val="22"/>
        </w:rPr>
        <w:t>) and a good port city (</w:t>
      </w:r>
      <w:r w:rsidR="004165B2" w:rsidRPr="0043703E">
        <w:rPr>
          <w:i/>
          <w:sz w:val="22"/>
          <w:szCs w:val="22"/>
        </w:rPr>
        <w:t>bandar-i</w:t>
      </w:r>
      <w:r w:rsidR="00CB4D68" w:rsidRPr="0043703E">
        <w:rPr>
          <w:i/>
          <w:sz w:val="22"/>
          <w:szCs w:val="22"/>
        </w:rPr>
        <w:t>-</w:t>
      </w:r>
      <w:r w:rsidR="004165B2" w:rsidRPr="0043703E">
        <w:rPr>
          <w:i/>
          <w:sz w:val="22"/>
          <w:szCs w:val="22"/>
          <w:u w:val="single"/>
        </w:rPr>
        <w:t>kh</w:t>
      </w:r>
      <w:r w:rsidR="00CB4D68" w:rsidRPr="0043703E">
        <w:rPr>
          <w:i/>
          <w:sz w:val="22"/>
          <w:szCs w:val="22"/>
        </w:rPr>
        <w:t>ú</w:t>
      </w:r>
      <w:r w:rsidR="004165B2" w:rsidRPr="0043703E">
        <w:rPr>
          <w:i/>
          <w:sz w:val="22"/>
          <w:szCs w:val="22"/>
        </w:rPr>
        <w:t>b</w:t>
      </w:r>
      <w:r w:rsidR="00CB4D68" w:rsidRPr="0043703E">
        <w:rPr>
          <w:i/>
          <w:sz w:val="22"/>
          <w:szCs w:val="22"/>
        </w:rPr>
        <w:t>í</w:t>
      </w:r>
      <w:r w:rsidR="004165B2" w:rsidRPr="0043703E">
        <w:rPr>
          <w:sz w:val="22"/>
          <w:szCs w:val="22"/>
        </w:rPr>
        <w:t>) that should be open by day and by night as a means of passage and that the rebels and criminals should be transferred to another place.  They accepted, and so it happened, and the confinement [of Bahá’u’lláh] in the Prison (</w:t>
      </w:r>
      <w:proofErr w:type="gramStart"/>
      <w:r w:rsidR="004165B2" w:rsidRPr="0043703E">
        <w:rPr>
          <w:i/>
          <w:sz w:val="22"/>
          <w:szCs w:val="22"/>
        </w:rPr>
        <w:t>qal</w:t>
      </w:r>
      <w:r w:rsidR="00CB4D68" w:rsidRPr="0043703E">
        <w:rPr>
          <w:i/>
          <w:sz w:val="22"/>
          <w:szCs w:val="22"/>
        </w:rPr>
        <w:t>‘</w:t>
      </w:r>
      <w:proofErr w:type="gramEnd"/>
      <w:r w:rsidR="004165B2" w:rsidRPr="0043703E">
        <w:rPr>
          <w:i/>
          <w:sz w:val="22"/>
          <w:szCs w:val="22"/>
        </w:rPr>
        <w:t>ih-band</w:t>
      </w:r>
      <w:r w:rsidR="00CB4D68" w:rsidRPr="0043703E">
        <w:rPr>
          <w:i/>
          <w:sz w:val="22"/>
          <w:szCs w:val="22"/>
        </w:rPr>
        <w:t>í</w:t>
      </w:r>
      <w:r w:rsidR="004165B2" w:rsidRPr="0043703E">
        <w:rPr>
          <w:i/>
          <w:sz w:val="22"/>
          <w:szCs w:val="22"/>
        </w:rPr>
        <w:t xml:space="preserve"> wa </w:t>
      </w:r>
      <w:r w:rsidR="004165B2" w:rsidRPr="0043703E">
        <w:rPr>
          <w:i/>
          <w:sz w:val="22"/>
          <w:szCs w:val="22"/>
          <w:u w:val="single"/>
        </w:rPr>
        <w:t>kh</w:t>
      </w:r>
      <w:r w:rsidR="00CB4D68" w:rsidRPr="0043703E">
        <w:rPr>
          <w:i/>
          <w:sz w:val="22"/>
          <w:szCs w:val="22"/>
        </w:rPr>
        <w:t>á</w:t>
      </w:r>
      <w:r w:rsidR="004165B2" w:rsidRPr="0043703E">
        <w:rPr>
          <w:i/>
          <w:sz w:val="22"/>
          <w:szCs w:val="22"/>
        </w:rPr>
        <w:t>rij na-</w:t>
      </w:r>
      <w:r w:rsidR="004165B2" w:rsidRPr="0043703E">
        <w:rPr>
          <w:i/>
          <w:sz w:val="22"/>
          <w:szCs w:val="22"/>
          <w:u w:val="single"/>
        </w:rPr>
        <w:t>sh</w:t>
      </w:r>
      <w:r w:rsidR="004165B2" w:rsidRPr="0043703E">
        <w:rPr>
          <w:i/>
          <w:sz w:val="22"/>
          <w:szCs w:val="22"/>
        </w:rPr>
        <w:t>udan</w:t>
      </w:r>
      <w:r w:rsidR="004165B2" w:rsidRPr="0043703E">
        <w:rPr>
          <w:sz w:val="22"/>
          <w:szCs w:val="22"/>
        </w:rPr>
        <w:t xml:space="preserve">) was ended.  </w:t>
      </w:r>
      <w:proofErr w:type="gramStart"/>
      <w:r w:rsidR="004165B2" w:rsidRPr="0043703E">
        <w:rPr>
          <w:sz w:val="22"/>
          <w:szCs w:val="22"/>
        </w:rPr>
        <w:t>Thus</w:t>
      </w:r>
      <w:proofErr w:type="gramEnd"/>
      <w:r w:rsidR="004165B2" w:rsidRPr="0043703E">
        <w:rPr>
          <w:sz w:val="22"/>
          <w:szCs w:val="22"/>
        </w:rPr>
        <w:t xml:space="preserve"> has it been decreed by Him Who is the All-Powerful, the Almighty.</w:t>
      </w:r>
    </w:p>
    <w:p w14:paraId="0352ACB6" w14:textId="77777777" w:rsidR="00637BA5" w:rsidRPr="0043703E" w:rsidRDefault="00637BA5" w:rsidP="0043703E">
      <w:pPr>
        <w:spacing w:line="264" w:lineRule="auto"/>
        <w:rPr>
          <w:sz w:val="22"/>
          <w:szCs w:val="22"/>
        </w:rPr>
      </w:pPr>
    </w:p>
    <w:sectPr w:rsidR="00637BA5" w:rsidRPr="0043703E" w:rsidSect="009F696C">
      <w:footerReference w:type="default" r:id="rId7"/>
      <w:footnotePr>
        <w:numRestart w:val="eachPage"/>
      </w:footnotePr>
      <w:pgSz w:w="11907" w:h="16840" w:code="9"/>
      <w:pgMar w:top="1296" w:right="1440" w:bottom="1296" w:left="1440" w:header="720" w:footer="562"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CD0D7" w14:textId="77777777" w:rsidR="007D20D2" w:rsidRDefault="007D20D2" w:rsidP="00E41271">
      <w:r>
        <w:separator/>
      </w:r>
    </w:p>
  </w:endnote>
  <w:endnote w:type="continuationSeparator" w:id="0">
    <w:p w14:paraId="4AE93ECB" w14:textId="77777777" w:rsidR="007D20D2" w:rsidRDefault="007D20D2"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D1BF3" w14:textId="77777777" w:rsidR="00C55074" w:rsidRDefault="008E6A86" w:rsidP="008E6A86">
    <w:pPr>
      <w:pStyle w:val="Footer"/>
      <w:jc w:val="center"/>
    </w:pPr>
    <w:r>
      <w:fldChar w:fldCharType="begin"/>
    </w:r>
    <w:r>
      <w:instrText xml:space="preserve"> Page </w:instrText>
    </w:r>
    <w:r>
      <w:fldChar w:fldCharType="separate"/>
    </w:r>
    <w:r w:rsidR="000C6780">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E70F" w14:textId="77777777" w:rsidR="007D20D2" w:rsidRDefault="007D20D2" w:rsidP="00E41271">
      <w:r>
        <w:separator/>
      </w:r>
    </w:p>
  </w:footnote>
  <w:footnote w:type="continuationSeparator" w:id="0">
    <w:p w14:paraId="01327CB0" w14:textId="77777777" w:rsidR="007D20D2" w:rsidRDefault="007D20D2" w:rsidP="00E41271">
      <w:r>
        <w:continuationSeparator/>
      </w:r>
    </w:p>
  </w:footnote>
  <w:footnote w:id="1">
    <w:p w14:paraId="5D24A798" w14:textId="77777777" w:rsidR="006569E9" w:rsidRPr="0043703E" w:rsidRDefault="006569E9">
      <w:pPr>
        <w:pStyle w:val="FootnoteText"/>
        <w:rPr>
          <w:sz w:val="20"/>
          <w:szCs w:val="20"/>
          <w:lang w:val="en-US"/>
        </w:rPr>
      </w:pPr>
      <w:r w:rsidRPr="0043703E">
        <w:rPr>
          <w:rStyle w:val="FootnoteReference"/>
          <w:sz w:val="20"/>
          <w:szCs w:val="20"/>
        </w:rPr>
        <w:footnoteRef/>
      </w:r>
      <w:r w:rsidRPr="0043703E">
        <w:rPr>
          <w:sz w:val="20"/>
          <w:szCs w:val="20"/>
        </w:rPr>
        <w:tab/>
        <w:t>This paper was read in the absence of the author at the Religious Studies Seminar of the Association for Bah</w:t>
      </w:r>
      <w:r w:rsidRPr="0043703E">
        <w:rPr>
          <w:sz w:val="24"/>
          <w:szCs w:val="20"/>
        </w:rPr>
        <w:t>á</w:t>
      </w:r>
      <w:r w:rsidRPr="0043703E">
        <w:rPr>
          <w:sz w:val="20"/>
          <w:szCs w:val="20"/>
        </w:rPr>
        <w:t>’</w:t>
      </w:r>
      <w:r w:rsidRPr="0043703E">
        <w:rPr>
          <w:sz w:val="24"/>
          <w:szCs w:val="20"/>
        </w:rPr>
        <w:t>í</w:t>
      </w:r>
      <w:r w:rsidRPr="0043703E">
        <w:rPr>
          <w:sz w:val="20"/>
          <w:szCs w:val="20"/>
        </w:rPr>
        <w:t xml:space="preserve"> Studies (English-Speaking Europe), Newcastle (UK), 10–12 December 2004.  I thank the participants for their comments.</w:t>
      </w:r>
    </w:p>
  </w:footnote>
  <w:footnote w:id="2">
    <w:p w14:paraId="623E5F63" w14:textId="77777777" w:rsidR="00C94C70" w:rsidRPr="0043703E" w:rsidRDefault="00C94C70">
      <w:pPr>
        <w:pStyle w:val="FootnoteText"/>
        <w:rPr>
          <w:sz w:val="20"/>
          <w:szCs w:val="20"/>
          <w:lang w:val="en-US"/>
        </w:rPr>
      </w:pPr>
      <w:r w:rsidRPr="0043703E">
        <w:rPr>
          <w:rStyle w:val="FootnoteReference"/>
          <w:sz w:val="20"/>
          <w:szCs w:val="20"/>
        </w:rPr>
        <w:footnoteRef/>
      </w:r>
      <w:r w:rsidRPr="0043703E">
        <w:rPr>
          <w:sz w:val="20"/>
          <w:szCs w:val="20"/>
        </w:rPr>
        <w:tab/>
      </w:r>
      <w:r w:rsidR="00771EE4" w:rsidRPr="0043703E">
        <w:rPr>
          <w:sz w:val="20"/>
          <w:szCs w:val="20"/>
        </w:rPr>
        <w:t>Fran</w:t>
      </w:r>
      <w:r w:rsidRPr="0043703E">
        <w:rPr>
          <w:sz w:val="20"/>
          <w:szCs w:val="20"/>
        </w:rPr>
        <w:t>z Babinger, ‘Midḥat Pá</w:t>
      </w:r>
      <w:r w:rsidRPr="0043703E">
        <w:rPr>
          <w:sz w:val="20"/>
          <w:szCs w:val="20"/>
          <w:u w:val="single"/>
        </w:rPr>
        <w:t>sh</w:t>
      </w:r>
      <w:r w:rsidRPr="0043703E">
        <w:rPr>
          <w:sz w:val="20"/>
          <w:szCs w:val="20"/>
        </w:rPr>
        <w:t xml:space="preserve">á’, in:  </w:t>
      </w:r>
      <w:r w:rsidRPr="0043703E">
        <w:rPr>
          <w:i/>
          <w:sz w:val="20"/>
          <w:szCs w:val="20"/>
        </w:rPr>
        <w:t>Enzyklopädie des Islam</w:t>
      </w:r>
      <w:r w:rsidRPr="0043703E">
        <w:rPr>
          <w:sz w:val="20"/>
          <w:szCs w:val="20"/>
        </w:rPr>
        <w:t xml:space="preserve">, vols. 1–4 and supplement (Brill:  Leiden, 1913) 3:555–57; M. Tayyib Gökbilgin, ‘Midhat Paşa’, in:  </w:t>
      </w:r>
      <w:r w:rsidRPr="0043703E">
        <w:rPr>
          <w:i/>
          <w:sz w:val="20"/>
          <w:szCs w:val="20"/>
        </w:rPr>
        <w:t>Islam Ansiklopedisi</w:t>
      </w:r>
      <w:r w:rsidRPr="0043703E">
        <w:rPr>
          <w:sz w:val="20"/>
          <w:szCs w:val="20"/>
        </w:rPr>
        <w:t xml:space="preserve"> (Istanbul:  Milli E</w:t>
      </w:r>
      <w:r w:rsidR="00C274E1" w:rsidRPr="0043703E">
        <w:rPr>
          <w:sz w:val="20"/>
          <w:szCs w:val="20"/>
        </w:rPr>
        <w:t>ğ</w:t>
      </w:r>
      <w:r w:rsidRPr="0043703E">
        <w:rPr>
          <w:sz w:val="20"/>
          <w:szCs w:val="20"/>
        </w:rPr>
        <w:t>itim Basımevi, 1960) 8:270–82; Roderic H. Davison, ‘Midḥat Pá</w:t>
      </w:r>
      <w:r w:rsidRPr="0043703E">
        <w:rPr>
          <w:sz w:val="20"/>
          <w:szCs w:val="20"/>
          <w:u w:val="single"/>
        </w:rPr>
        <w:t>sh</w:t>
      </w:r>
      <w:r w:rsidRPr="0043703E">
        <w:rPr>
          <w:sz w:val="20"/>
          <w:szCs w:val="20"/>
        </w:rPr>
        <w:t xml:space="preserve">á’, in:  </w:t>
      </w:r>
      <w:r w:rsidRPr="0043703E">
        <w:rPr>
          <w:i/>
          <w:sz w:val="20"/>
          <w:szCs w:val="20"/>
        </w:rPr>
        <w:t>The Encyclopedia of Islam</w:t>
      </w:r>
      <w:r w:rsidRPr="0043703E">
        <w:rPr>
          <w:sz w:val="20"/>
          <w:szCs w:val="20"/>
        </w:rPr>
        <w:t xml:space="preserve"> (Leiden:  Brill, 1991) 6:1031–35.  These three articles list extensive primary and secondary literature on Mid</w:t>
      </w:r>
      <w:r w:rsidR="00DF778A" w:rsidRPr="0043703E">
        <w:rPr>
          <w:sz w:val="20"/>
          <w:szCs w:val="20"/>
        </w:rPr>
        <w:t>h</w:t>
      </w:r>
      <w:r w:rsidRPr="0043703E">
        <w:rPr>
          <w:sz w:val="20"/>
          <w:szCs w:val="20"/>
        </w:rPr>
        <w:t>at P</w:t>
      </w:r>
      <w:r w:rsidR="00DF778A" w:rsidRPr="0043703E">
        <w:rPr>
          <w:sz w:val="20"/>
          <w:szCs w:val="20"/>
        </w:rPr>
        <w:t>a</w:t>
      </w:r>
      <w:r w:rsidRPr="0043703E">
        <w:rPr>
          <w:sz w:val="20"/>
          <w:szCs w:val="20"/>
        </w:rPr>
        <w:t>sh</w:t>
      </w:r>
      <w:r w:rsidR="00DF778A" w:rsidRPr="0043703E">
        <w:rPr>
          <w:sz w:val="20"/>
          <w:szCs w:val="20"/>
        </w:rPr>
        <w:t>a</w:t>
      </w:r>
      <w:r w:rsidRPr="0043703E">
        <w:rPr>
          <w:sz w:val="20"/>
          <w:szCs w:val="20"/>
        </w:rPr>
        <w:t>.  An interesting novel about Mid</w:t>
      </w:r>
      <w:r w:rsidR="00DF778A" w:rsidRPr="0043703E">
        <w:rPr>
          <w:sz w:val="20"/>
          <w:szCs w:val="20"/>
        </w:rPr>
        <w:t>h</w:t>
      </w:r>
      <w:r w:rsidRPr="0043703E">
        <w:rPr>
          <w:sz w:val="20"/>
          <w:szCs w:val="20"/>
        </w:rPr>
        <w:t>at P</w:t>
      </w:r>
      <w:r w:rsidR="00DF778A" w:rsidRPr="0043703E">
        <w:rPr>
          <w:sz w:val="20"/>
          <w:szCs w:val="20"/>
        </w:rPr>
        <w:t>a</w:t>
      </w:r>
      <w:r w:rsidRPr="0043703E">
        <w:rPr>
          <w:sz w:val="20"/>
          <w:szCs w:val="20"/>
        </w:rPr>
        <w:t>sh</w:t>
      </w:r>
      <w:r w:rsidR="00DF778A" w:rsidRPr="0043703E">
        <w:rPr>
          <w:sz w:val="20"/>
          <w:szCs w:val="20"/>
        </w:rPr>
        <w:t>a</w:t>
      </w:r>
      <w:r w:rsidRPr="0043703E">
        <w:rPr>
          <w:sz w:val="20"/>
          <w:szCs w:val="20"/>
        </w:rPr>
        <w:t xml:space="preserve">’s private life and political activities based on historical sources is Hıfzı Topuz, </w:t>
      </w:r>
      <w:r w:rsidRPr="0043703E">
        <w:rPr>
          <w:i/>
          <w:sz w:val="20"/>
          <w:szCs w:val="20"/>
        </w:rPr>
        <w:t>Taif’te Ölüm</w:t>
      </w:r>
      <w:r w:rsidRPr="0043703E">
        <w:rPr>
          <w:sz w:val="20"/>
          <w:szCs w:val="20"/>
        </w:rPr>
        <w:t xml:space="preserve"> (Death in Taif), (Istanbul:  Remzi Kitabevi, 1999).  There are recent academic articles about him that are too many to be listed here.</w:t>
      </w:r>
    </w:p>
  </w:footnote>
  <w:footnote w:id="3">
    <w:p w14:paraId="0DDE4BC2" w14:textId="77777777" w:rsidR="00C94C70" w:rsidRPr="0043703E" w:rsidRDefault="00C94C70">
      <w:pPr>
        <w:pStyle w:val="FootnoteText"/>
        <w:rPr>
          <w:sz w:val="20"/>
          <w:szCs w:val="20"/>
          <w:lang w:val="en-US"/>
        </w:rPr>
      </w:pPr>
      <w:r w:rsidRPr="0043703E">
        <w:rPr>
          <w:rStyle w:val="FootnoteReference"/>
          <w:sz w:val="20"/>
          <w:szCs w:val="20"/>
        </w:rPr>
        <w:footnoteRef/>
      </w:r>
      <w:r w:rsidRPr="0043703E">
        <w:rPr>
          <w:sz w:val="20"/>
          <w:szCs w:val="20"/>
        </w:rPr>
        <w:tab/>
        <w:t>Mid</w:t>
      </w:r>
      <w:r w:rsidR="00DF778A" w:rsidRPr="0043703E">
        <w:rPr>
          <w:sz w:val="20"/>
          <w:szCs w:val="20"/>
        </w:rPr>
        <w:t>h</w:t>
      </w:r>
      <w:r w:rsidRPr="0043703E">
        <w:rPr>
          <w:sz w:val="20"/>
          <w:szCs w:val="20"/>
        </w:rPr>
        <w:t>at P</w:t>
      </w:r>
      <w:r w:rsidR="00DF778A" w:rsidRPr="0043703E">
        <w:rPr>
          <w:sz w:val="20"/>
          <w:szCs w:val="20"/>
        </w:rPr>
        <w:t>a</w:t>
      </w:r>
      <w:r w:rsidRPr="0043703E">
        <w:rPr>
          <w:sz w:val="20"/>
          <w:szCs w:val="20"/>
        </w:rPr>
        <w:t>sh</w:t>
      </w:r>
      <w:r w:rsidR="00DF778A" w:rsidRPr="0043703E">
        <w:rPr>
          <w:sz w:val="20"/>
          <w:szCs w:val="20"/>
        </w:rPr>
        <w:t>a</w:t>
      </w:r>
      <w:r w:rsidRPr="0043703E">
        <w:rPr>
          <w:sz w:val="20"/>
          <w:szCs w:val="20"/>
        </w:rPr>
        <w:t xml:space="preserve"> also wrote a short commentary on the Quranic ‘Basmala’, i.e. </w:t>
      </w:r>
      <w:r w:rsidRPr="0043703E">
        <w:rPr>
          <w:i/>
          <w:sz w:val="20"/>
          <w:szCs w:val="20"/>
        </w:rPr>
        <w:t>Bismi’lláhi’r-raḥmáni’r-raḥím</w:t>
      </w:r>
      <w:r w:rsidRPr="0043703E">
        <w:rPr>
          <w:sz w:val="20"/>
          <w:szCs w:val="20"/>
        </w:rPr>
        <w:t xml:space="preserve"> (‘In the name of God, the Compassionate, the Merciful’), and on the first chapter, the </w:t>
      </w:r>
      <w:r w:rsidRPr="0043703E">
        <w:rPr>
          <w:i/>
          <w:sz w:val="20"/>
          <w:szCs w:val="20"/>
        </w:rPr>
        <w:t>Súrat al-Fátiḥa</w:t>
      </w:r>
      <w:r w:rsidRPr="0043703E">
        <w:rPr>
          <w:sz w:val="20"/>
          <w:szCs w:val="20"/>
        </w:rPr>
        <w:t xml:space="preserve">; see Şehbenderzâde Filibeli Ahmed Hilmi, ‘Midhat Paşa Merhûmun Besmele ve Fâtiha Tefsîri’, </w:t>
      </w:r>
      <w:r w:rsidRPr="0043703E">
        <w:rPr>
          <w:i/>
          <w:sz w:val="20"/>
          <w:szCs w:val="20"/>
        </w:rPr>
        <w:t xml:space="preserve">Hikmet </w:t>
      </w:r>
      <w:r w:rsidRPr="0043703E">
        <w:rPr>
          <w:sz w:val="20"/>
          <w:szCs w:val="20"/>
        </w:rPr>
        <w:t xml:space="preserve">(newspaper), 25 Rabîu’l-Âhir 1328 (5 May 1910), no. 3, pp. 2–3; published by Mustafa Özel, ‘Midhat Paşa’nın Besmele ve Fâtiha Tefsiri’, </w:t>
      </w:r>
      <w:r w:rsidRPr="0043703E">
        <w:rPr>
          <w:i/>
          <w:sz w:val="20"/>
          <w:szCs w:val="20"/>
        </w:rPr>
        <w:t>Marife</w:t>
      </w:r>
      <w:r w:rsidRPr="0043703E">
        <w:rPr>
          <w:sz w:val="20"/>
          <w:szCs w:val="20"/>
        </w:rPr>
        <w:t xml:space="preserve"> (journal), no. 2, 2003; online at www.marife.org/8-ozel.htm (accessed 23 June 2004).</w:t>
      </w:r>
    </w:p>
  </w:footnote>
  <w:footnote w:id="4">
    <w:p w14:paraId="240D0F72" w14:textId="77777777" w:rsidR="00183356" w:rsidRPr="0043703E" w:rsidRDefault="00183356">
      <w:pPr>
        <w:pStyle w:val="FootnoteText"/>
        <w:rPr>
          <w:sz w:val="20"/>
          <w:szCs w:val="20"/>
          <w:lang w:val="en-US"/>
        </w:rPr>
      </w:pPr>
      <w:r w:rsidRPr="0043703E">
        <w:rPr>
          <w:rStyle w:val="FootnoteReference"/>
          <w:sz w:val="20"/>
          <w:szCs w:val="20"/>
        </w:rPr>
        <w:footnoteRef/>
      </w:r>
      <w:r w:rsidRPr="0043703E">
        <w:rPr>
          <w:sz w:val="20"/>
          <w:szCs w:val="20"/>
        </w:rPr>
        <w:tab/>
      </w:r>
      <w:r w:rsidR="00C274E1" w:rsidRPr="0043703E">
        <w:rPr>
          <w:sz w:val="20"/>
          <w:szCs w:val="20"/>
        </w:rPr>
        <w:t>İ</w:t>
      </w:r>
      <w:r w:rsidRPr="0043703E">
        <w:rPr>
          <w:sz w:val="20"/>
          <w:szCs w:val="20"/>
        </w:rPr>
        <w:t>smet Bozda</w:t>
      </w:r>
      <w:r w:rsidR="00C274E1" w:rsidRPr="0043703E">
        <w:rPr>
          <w:sz w:val="20"/>
          <w:szCs w:val="20"/>
        </w:rPr>
        <w:t>ğ</w:t>
      </w:r>
      <w:r w:rsidRPr="0043703E">
        <w:rPr>
          <w:sz w:val="20"/>
          <w:szCs w:val="20"/>
        </w:rPr>
        <w:t xml:space="preserve">, </w:t>
      </w:r>
      <w:r w:rsidRPr="0043703E">
        <w:rPr>
          <w:i/>
          <w:sz w:val="20"/>
          <w:szCs w:val="20"/>
        </w:rPr>
        <w:t>Abdülhamid’in Hatıra Defteri</w:t>
      </w:r>
      <w:r w:rsidRPr="0043703E">
        <w:rPr>
          <w:sz w:val="20"/>
          <w:szCs w:val="20"/>
        </w:rPr>
        <w:t xml:space="preserve"> (Istanbul:  Pınar Yayınları, 1985) 13–15.</w:t>
      </w:r>
    </w:p>
  </w:footnote>
  <w:footnote w:id="5">
    <w:p w14:paraId="24164435" w14:textId="77777777" w:rsidR="00670D77" w:rsidRPr="0043703E" w:rsidRDefault="00670D77">
      <w:pPr>
        <w:pStyle w:val="FootnoteText"/>
        <w:rPr>
          <w:sz w:val="20"/>
          <w:szCs w:val="20"/>
          <w:lang w:val="en-US"/>
        </w:rPr>
      </w:pPr>
      <w:r w:rsidRPr="0043703E">
        <w:rPr>
          <w:rStyle w:val="FootnoteReference"/>
          <w:sz w:val="20"/>
          <w:szCs w:val="20"/>
        </w:rPr>
        <w:footnoteRef/>
      </w:r>
      <w:r w:rsidRPr="0043703E">
        <w:rPr>
          <w:sz w:val="20"/>
          <w:szCs w:val="20"/>
        </w:rPr>
        <w:tab/>
        <w:t xml:space="preserve">For details of Midhat Pasha as governor of Syria, see e.g. Ali Haydar Midḥat, </w:t>
      </w:r>
      <w:r w:rsidRPr="0043703E">
        <w:rPr>
          <w:i/>
          <w:sz w:val="20"/>
          <w:szCs w:val="20"/>
        </w:rPr>
        <w:t>The Life of Midhat Pasha</w:t>
      </w:r>
      <w:r w:rsidRPr="0043703E">
        <w:rPr>
          <w:sz w:val="20"/>
          <w:szCs w:val="20"/>
        </w:rPr>
        <w:t xml:space="preserve"> (Arno Press:  New York, 1973, reprint of the 1903 ed. published by Murray, London) 178–80; Bilal Şimşir, </w:t>
      </w:r>
      <w:r w:rsidRPr="0043703E">
        <w:rPr>
          <w:i/>
          <w:sz w:val="20"/>
          <w:szCs w:val="20"/>
        </w:rPr>
        <w:t>Fransız Belgelerine Göre</w:t>
      </w:r>
      <w:r w:rsidRPr="0043703E">
        <w:rPr>
          <w:sz w:val="20"/>
          <w:szCs w:val="20"/>
        </w:rPr>
        <w:t xml:space="preserve">; </w:t>
      </w:r>
      <w:r w:rsidRPr="0043703E">
        <w:rPr>
          <w:i/>
          <w:sz w:val="20"/>
          <w:szCs w:val="20"/>
        </w:rPr>
        <w:t>Midhat Paşanın sonu</w:t>
      </w:r>
      <w:r w:rsidRPr="0043703E">
        <w:rPr>
          <w:sz w:val="20"/>
          <w:szCs w:val="20"/>
        </w:rPr>
        <w:t xml:space="preserve"> (1878–1884):  </w:t>
      </w:r>
      <w:r w:rsidRPr="0043703E">
        <w:rPr>
          <w:i/>
          <w:sz w:val="20"/>
          <w:szCs w:val="20"/>
        </w:rPr>
        <w:t>les dernières années de Midhat Pacha</w:t>
      </w:r>
      <w:r w:rsidRPr="0043703E">
        <w:rPr>
          <w:sz w:val="20"/>
          <w:szCs w:val="20"/>
        </w:rPr>
        <w:t xml:space="preserve"> (</w:t>
      </w:r>
      <w:r w:rsidRPr="0043703E">
        <w:rPr>
          <w:i/>
          <w:sz w:val="20"/>
          <w:szCs w:val="20"/>
        </w:rPr>
        <w:t>d’après les documents français</w:t>
      </w:r>
      <w:r w:rsidRPr="0043703E">
        <w:rPr>
          <w:sz w:val="20"/>
          <w:szCs w:val="20"/>
        </w:rPr>
        <w:t xml:space="preserve">) (Ankara:  Ayyıldız Matbaası, 1970) 15–38; Najib Saliba, ‘The Achievements of Midhat Pasha as Governor of the Province of Syria, 1878–1880’, </w:t>
      </w:r>
      <w:r w:rsidRPr="0043703E">
        <w:rPr>
          <w:i/>
          <w:sz w:val="20"/>
          <w:szCs w:val="20"/>
        </w:rPr>
        <w:t>International Journal of Middle East Studies</w:t>
      </w:r>
      <w:r w:rsidRPr="0043703E">
        <w:rPr>
          <w:sz w:val="20"/>
          <w:szCs w:val="20"/>
        </w:rPr>
        <w:t xml:space="preserve"> 9 (1979) 307–323; and Butrus Abu-Manneh, ‘The Genesis of Midḥat P</w:t>
      </w:r>
      <w:r w:rsidR="00F31454" w:rsidRPr="0043703E">
        <w:rPr>
          <w:sz w:val="20"/>
          <w:szCs w:val="20"/>
        </w:rPr>
        <w:t>a</w:t>
      </w:r>
      <w:r w:rsidRPr="0043703E">
        <w:rPr>
          <w:sz w:val="20"/>
          <w:szCs w:val="20"/>
        </w:rPr>
        <w:t>sh</w:t>
      </w:r>
      <w:r w:rsidR="00F31454" w:rsidRPr="0043703E">
        <w:rPr>
          <w:sz w:val="20"/>
          <w:szCs w:val="20"/>
        </w:rPr>
        <w:t>a</w:t>
      </w:r>
      <w:r w:rsidRPr="0043703E">
        <w:rPr>
          <w:sz w:val="20"/>
          <w:szCs w:val="20"/>
        </w:rPr>
        <w:t xml:space="preserve">’s Governorship in Syria 1878–1880’, in Thomas Philipp/Birgit Schaebler (eds.), </w:t>
      </w:r>
      <w:r w:rsidRPr="0043703E">
        <w:rPr>
          <w:i/>
          <w:sz w:val="20"/>
          <w:szCs w:val="20"/>
        </w:rPr>
        <w:t>The Syrian Land:  Processes of Integration and Fragmentation in Bilád al-Shám from the 18th to the 20th Century</w:t>
      </w:r>
      <w:r w:rsidRPr="0043703E">
        <w:rPr>
          <w:sz w:val="20"/>
          <w:szCs w:val="20"/>
        </w:rPr>
        <w:t xml:space="preserve"> (Berliner Islamstudien Band 6, Stuttgart:  Franz Steiner Verlag, 1998) 251–67.  On his reform proposal for Syria, see Hüseyin Tosun, ed., </w:t>
      </w:r>
      <w:r w:rsidRPr="0043703E">
        <w:rPr>
          <w:i/>
          <w:sz w:val="20"/>
          <w:szCs w:val="20"/>
        </w:rPr>
        <w:t>Suriye Lâyihası</w:t>
      </w:r>
      <w:r w:rsidRPr="0043703E">
        <w:rPr>
          <w:sz w:val="20"/>
          <w:szCs w:val="20"/>
        </w:rPr>
        <w:t xml:space="preserve"> (Istanbul:  Matbaa ve Kütüphane-i</w:t>
      </w:r>
      <w:r w:rsidR="00771EE4" w:rsidRPr="0043703E">
        <w:rPr>
          <w:sz w:val="20"/>
          <w:szCs w:val="20"/>
        </w:rPr>
        <w:t>-</w:t>
      </w:r>
      <w:r w:rsidRPr="0043703E">
        <w:rPr>
          <w:sz w:val="20"/>
          <w:szCs w:val="20"/>
        </w:rPr>
        <w:t>Cihan, 1324/1906–07).</w:t>
      </w:r>
    </w:p>
  </w:footnote>
  <w:footnote w:id="6">
    <w:p w14:paraId="05437D26" w14:textId="77777777" w:rsidR="00666FA7" w:rsidRPr="0043703E" w:rsidRDefault="00666FA7">
      <w:pPr>
        <w:pStyle w:val="FootnoteText"/>
        <w:rPr>
          <w:sz w:val="20"/>
          <w:szCs w:val="20"/>
          <w:lang w:val="en-US"/>
        </w:rPr>
      </w:pPr>
      <w:r w:rsidRPr="0043703E">
        <w:rPr>
          <w:rStyle w:val="FootnoteReference"/>
          <w:sz w:val="20"/>
          <w:szCs w:val="20"/>
        </w:rPr>
        <w:footnoteRef/>
      </w:r>
      <w:r w:rsidRPr="0043703E">
        <w:rPr>
          <w:sz w:val="20"/>
          <w:szCs w:val="20"/>
        </w:rPr>
        <w:tab/>
        <w:t xml:space="preserve">Letter of Friedrich Lange (a Templer teacher), dated 30 May 1880, published on 24 June 1880 in the Templer weekly journal </w:t>
      </w:r>
      <w:r w:rsidRPr="0043703E">
        <w:rPr>
          <w:i/>
          <w:sz w:val="20"/>
          <w:szCs w:val="20"/>
        </w:rPr>
        <w:t>Süddeutsche Warte</w:t>
      </w:r>
      <w:r w:rsidRPr="0043703E">
        <w:rPr>
          <w:sz w:val="20"/>
          <w:szCs w:val="20"/>
        </w:rPr>
        <w:t xml:space="preserve">; in Alex Carmel, </w:t>
      </w:r>
      <w:r w:rsidRPr="0043703E">
        <w:rPr>
          <w:i/>
          <w:sz w:val="20"/>
          <w:szCs w:val="20"/>
        </w:rPr>
        <w:t>Palästina-Chronik</w:t>
      </w:r>
      <w:r w:rsidRPr="0043703E">
        <w:rPr>
          <w:sz w:val="20"/>
          <w:szCs w:val="20"/>
        </w:rPr>
        <w:t xml:space="preserve"> </w:t>
      </w:r>
      <w:r w:rsidRPr="0043703E">
        <w:rPr>
          <w:i/>
          <w:sz w:val="20"/>
          <w:szCs w:val="20"/>
        </w:rPr>
        <w:t>1853 bis 1882:  Deutsche Zeitungsberichte vom Krimkrieg bis zur ersten jüdischen Einwanderungswelle</w:t>
      </w:r>
      <w:r w:rsidRPr="0043703E">
        <w:rPr>
          <w:sz w:val="20"/>
          <w:szCs w:val="20"/>
        </w:rPr>
        <w:t xml:space="preserve"> (Ulm:  Vaas Verlag, 1978) 324–25.</w:t>
      </w:r>
    </w:p>
  </w:footnote>
  <w:footnote w:id="7">
    <w:p w14:paraId="0924D0C2" w14:textId="77777777" w:rsidR="00D91AE6" w:rsidRPr="0043703E" w:rsidRDefault="00D91AE6">
      <w:pPr>
        <w:pStyle w:val="FootnoteText"/>
        <w:rPr>
          <w:sz w:val="20"/>
          <w:szCs w:val="20"/>
          <w:lang w:val="en-US"/>
        </w:rPr>
      </w:pPr>
      <w:r w:rsidRPr="0043703E">
        <w:rPr>
          <w:rStyle w:val="FootnoteReference"/>
          <w:sz w:val="20"/>
          <w:szCs w:val="20"/>
        </w:rPr>
        <w:footnoteRef/>
      </w:r>
      <w:r w:rsidRPr="0043703E">
        <w:rPr>
          <w:sz w:val="20"/>
          <w:szCs w:val="20"/>
        </w:rPr>
        <w:tab/>
        <w:t>Abdülhamid himself says that Mid</w:t>
      </w:r>
      <w:r w:rsidR="00583E0E" w:rsidRPr="0043703E">
        <w:rPr>
          <w:sz w:val="20"/>
          <w:szCs w:val="20"/>
        </w:rPr>
        <w:t>h</w:t>
      </w:r>
      <w:r w:rsidRPr="0043703E">
        <w:rPr>
          <w:sz w:val="20"/>
          <w:szCs w:val="20"/>
        </w:rPr>
        <w:t xml:space="preserve">at was not involved in Abdülaziz’s death; </w:t>
      </w:r>
      <w:r w:rsidRPr="0043703E">
        <w:rPr>
          <w:i/>
          <w:sz w:val="20"/>
          <w:szCs w:val="20"/>
        </w:rPr>
        <w:t>Abdülhamid’in Hatıra Defteri</w:t>
      </w:r>
      <w:r w:rsidRPr="0043703E">
        <w:rPr>
          <w:sz w:val="20"/>
          <w:szCs w:val="20"/>
        </w:rPr>
        <w:t xml:space="preserve"> 15.</w:t>
      </w:r>
    </w:p>
  </w:footnote>
  <w:footnote w:id="8">
    <w:p w14:paraId="64694D8F" w14:textId="77777777" w:rsidR="00583E0E" w:rsidRPr="0043703E" w:rsidRDefault="00583E0E">
      <w:pPr>
        <w:pStyle w:val="FootnoteText"/>
        <w:rPr>
          <w:sz w:val="20"/>
          <w:szCs w:val="20"/>
          <w:lang w:val="en-US"/>
        </w:rPr>
      </w:pPr>
      <w:r w:rsidRPr="0043703E">
        <w:rPr>
          <w:rStyle w:val="FootnoteReference"/>
          <w:sz w:val="20"/>
          <w:szCs w:val="20"/>
        </w:rPr>
        <w:footnoteRef/>
      </w:r>
      <w:r w:rsidRPr="0043703E">
        <w:rPr>
          <w:sz w:val="20"/>
          <w:szCs w:val="20"/>
        </w:rPr>
        <w:tab/>
        <w:t>Asadu’lláh Fáḍil Mazandarání, Tárí</w:t>
      </w:r>
      <w:r w:rsidRPr="0043703E">
        <w:rPr>
          <w:sz w:val="20"/>
          <w:szCs w:val="20"/>
          <w:u w:val="single"/>
        </w:rPr>
        <w:t>kh</w:t>
      </w:r>
      <w:r w:rsidRPr="0043703E">
        <w:rPr>
          <w:sz w:val="20"/>
          <w:szCs w:val="20"/>
        </w:rPr>
        <w:t>-iẒuhúr al-Ḥaqq 5:62 (see www.h-net.org/~bahai/arabic/vol3/tzh5/5tzh.htm, viewed 15 November 2004).  I am grateful to Sohail Farhad for this reference.</w:t>
      </w:r>
    </w:p>
  </w:footnote>
  <w:footnote w:id="9">
    <w:p w14:paraId="36D151CC" w14:textId="77777777" w:rsidR="00633351" w:rsidRPr="0043703E" w:rsidRDefault="00633351">
      <w:pPr>
        <w:pStyle w:val="FootnoteText"/>
        <w:rPr>
          <w:sz w:val="20"/>
          <w:szCs w:val="20"/>
          <w:lang w:val="en-US"/>
        </w:rPr>
      </w:pPr>
      <w:r w:rsidRPr="0043703E">
        <w:rPr>
          <w:rStyle w:val="FootnoteReference"/>
          <w:sz w:val="20"/>
          <w:szCs w:val="20"/>
        </w:rPr>
        <w:footnoteRef/>
      </w:r>
      <w:r w:rsidRPr="0043703E">
        <w:rPr>
          <w:sz w:val="20"/>
          <w:szCs w:val="20"/>
        </w:rPr>
        <w:tab/>
        <w:t xml:space="preserve">These refugees were subjected to severe hardships in Mosul.  When they arrived, some of the inhabitants crowded on to the rooftops and threw stones at them.  The shopkeepers refused to sell them food and no one would give them shelter.  It took a long time for them to settle in Mosul.  After much privation and difficulties most of them managed to engage in some work, sharing their modest income with each other.  They remained in Mosul for about twenty years.’ (Adib Taherzadeh, </w:t>
      </w:r>
      <w:r w:rsidRPr="0043703E">
        <w:rPr>
          <w:i/>
          <w:sz w:val="20"/>
          <w:szCs w:val="20"/>
        </w:rPr>
        <w:t>The Revelation of Bahá’u’lláh</w:t>
      </w:r>
      <w:r w:rsidRPr="0043703E">
        <w:rPr>
          <w:sz w:val="20"/>
          <w:szCs w:val="20"/>
        </w:rPr>
        <w:t>, 4 vols., Oxford:  George Ronald, 1974–1987, 2:334)</w:t>
      </w:r>
    </w:p>
  </w:footnote>
  <w:footnote w:id="10">
    <w:p w14:paraId="173BD9B3" w14:textId="77777777" w:rsidR="00FB1B9D" w:rsidRPr="0043703E" w:rsidRDefault="00FB1B9D">
      <w:pPr>
        <w:pStyle w:val="FootnoteText"/>
        <w:rPr>
          <w:sz w:val="20"/>
          <w:szCs w:val="20"/>
          <w:lang w:val="en-US"/>
        </w:rPr>
      </w:pPr>
      <w:r w:rsidRPr="0043703E">
        <w:rPr>
          <w:rStyle w:val="FootnoteReference"/>
          <w:sz w:val="20"/>
          <w:szCs w:val="20"/>
        </w:rPr>
        <w:footnoteRef/>
      </w:r>
      <w:r w:rsidRPr="0043703E">
        <w:rPr>
          <w:sz w:val="20"/>
          <w:szCs w:val="20"/>
        </w:rPr>
        <w:tab/>
        <w:t>Hasan Balyuzi notes that one Bahá’í stayed ‘a few years’ in Mosul and then left for ‘Akká (</w:t>
      </w:r>
      <w:r w:rsidRPr="0043703E">
        <w:rPr>
          <w:i/>
          <w:sz w:val="20"/>
          <w:szCs w:val="20"/>
        </w:rPr>
        <w:t>Bahá’u’lláh:  The King of Glory</w:t>
      </w:r>
      <w:r w:rsidRPr="0043703E">
        <w:rPr>
          <w:sz w:val="20"/>
          <w:szCs w:val="20"/>
        </w:rPr>
        <w:t>, Oxford:  George Ronald, 1980, 2nd ed.  1991, 477).</w:t>
      </w:r>
    </w:p>
  </w:footnote>
  <w:footnote w:id="11">
    <w:p w14:paraId="6E1B72A7" w14:textId="77777777" w:rsidR="00342FD3" w:rsidRPr="0043703E" w:rsidRDefault="00342FD3">
      <w:pPr>
        <w:pStyle w:val="FootnoteText"/>
        <w:rPr>
          <w:sz w:val="20"/>
          <w:szCs w:val="20"/>
          <w:lang w:val="en-US"/>
        </w:rPr>
      </w:pPr>
      <w:r w:rsidRPr="0043703E">
        <w:rPr>
          <w:rStyle w:val="FootnoteReference"/>
          <w:sz w:val="20"/>
          <w:szCs w:val="20"/>
        </w:rPr>
        <w:footnoteRef/>
      </w:r>
      <w:r w:rsidRPr="0043703E">
        <w:rPr>
          <w:sz w:val="20"/>
          <w:szCs w:val="20"/>
        </w:rPr>
        <w:tab/>
        <w:t xml:space="preserve">Herbert to Elliott, No. 5, 17 August 1870:  FO 195 949, cited in Momen, </w:t>
      </w:r>
      <w:r w:rsidRPr="0043703E">
        <w:rPr>
          <w:i/>
          <w:sz w:val="20"/>
          <w:szCs w:val="20"/>
        </w:rPr>
        <w:t>The Bábí and Bahá’í Religions:  Some Contemporary Western Accounts, 1844–1944</w:t>
      </w:r>
      <w:r w:rsidRPr="0043703E">
        <w:rPr>
          <w:sz w:val="20"/>
          <w:szCs w:val="20"/>
        </w:rPr>
        <w:t xml:space="preserve"> (Oxford:  George Ronald, 1981) 267.</w:t>
      </w:r>
    </w:p>
  </w:footnote>
  <w:footnote w:id="12">
    <w:p w14:paraId="2E0A6D93" w14:textId="77777777" w:rsidR="00C828AF" w:rsidRPr="0043703E" w:rsidRDefault="00C828AF">
      <w:pPr>
        <w:pStyle w:val="FootnoteText"/>
        <w:rPr>
          <w:sz w:val="20"/>
          <w:szCs w:val="20"/>
          <w:lang w:val="en-US"/>
        </w:rPr>
      </w:pPr>
      <w:r w:rsidRPr="0043703E">
        <w:rPr>
          <w:rStyle w:val="FootnoteReference"/>
          <w:sz w:val="20"/>
          <w:szCs w:val="20"/>
        </w:rPr>
        <w:footnoteRef/>
      </w:r>
      <w:r w:rsidRPr="0043703E">
        <w:rPr>
          <w:sz w:val="20"/>
          <w:szCs w:val="20"/>
        </w:rPr>
        <w:tab/>
        <w:t xml:space="preserve">ibid.  On the visit of the </w:t>
      </w:r>
      <w:r w:rsidRPr="0043703E">
        <w:rPr>
          <w:sz w:val="20"/>
          <w:szCs w:val="20"/>
          <w:u w:val="single"/>
        </w:rPr>
        <w:t>Sh</w:t>
      </w:r>
      <w:r w:rsidRPr="0043703E">
        <w:rPr>
          <w:sz w:val="20"/>
          <w:szCs w:val="20"/>
        </w:rPr>
        <w:t xml:space="preserve">áh, without a reference to the Bábís, see Midhat Pasha, </w:t>
      </w:r>
      <w:r w:rsidRPr="0043703E">
        <w:rPr>
          <w:i/>
          <w:sz w:val="20"/>
          <w:szCs w:val="20"/>
        </w:rPr>
        <w:t>Tabsira-i</w:t>
      </w:r>
      <w:r w:rsidR="00771EE4" w:rsidRPr="0043703E">
        <w:rPr>
          <w:i/>
          <w:sz w:val="20"/>
          <w:szCs w:val="20"/>
        </w:rPr>
        <w:t>-</w:t>
      </w:r>
      <w:r w:rsidRPr="0043703E">
        <w:rPr>
          <w:i/>
          <w:sz w:val="20"/>
          <w:szCs w:val="20"/>
        </w:rPr>
        <w:t>Ibret and Mir’ât-ı</w:t>
      </w:r>
      <w:r w:rsidR="00771EE4" w:rsidRPr="0043703E">
        <w:rPr>
          <w:i/>
          <w:sz w:val="20"/>
          <w:szCs w:val="20"/>
        </w:rPr>
        <w:t>-</w:t>
      </w:r>
      <w:r w:rsidRPr="0043703E">
        <w:rPr>
          <w:i/>
          <w:sz w:val="20"/>
          <w:szCs w:val="20"/>
        </w:rPr>
        <w:t>Hayret</w:t>
      </w:r>
      <w:r w:rsidRPr="0043703E">
        <w:rPr>
          <w:sz w:val="20"/>
          <w:szCs w:val="20"/>
        </w:rPr>
        <w:t xml:space="preserve"> (2 vols. in one, Istanbul:  Hilal Matbaası, 1325/1906–07) 1:95–96.  In a letter to the Persian ambassador Mírzá Ḥusayn </w:t>
      </w:r>
      <w:r w:rsidRPr="0043703E">
        <w:rPr>
          <w:sz w:val="20"/>
          <w:szCs w:val="20"/>
          <w:u w:val="single"/>
        </w:rPr>
        <w:t>Kh</w:t>
      </w:r>
      <w:r w:rsidRPr="0043703E">
        <w:rPr>
          <w:sz w:val="20"/>
          <w:szCs w:val="20"/>
        </w:rPr>
        <w:t>án Mu</w:t>
      </w:r>
      <w:r w:rsidRPr="0043703E">
        <w:rPr>
          <w:sz w:val="20"/>
          <w:szCs w:val="20"/>
          <w:u w:val="single"/>
        </w:rPr>
        <w:t>sh</w:t>
      </w:r>
      <w:r w:rsidRPr="0043703E">
        <w:rPr>
          <w:sz w:val="20"/>
          <w:szCs w:val="20"/>
        </w:rPr>
        <w:t xml:space="preserve">íru’d-Dawlih in Istanbul, Naṣíru’d-Dín </w:t>
      </w:r>
      <w:r w:rsidRPr="0043703E">
        <w:rPr>
          <w:sz w:val="20"/>
          <w:szCs w:val="20"/>
          <w:u w:val="single"/>
        </w:rPr>
        <w:t>Sh</w:t>
      </w:r>
      <w:r w:rsidRPr="0043703E">
        <w:rPr>
          <w:sz w:val="20"/>
          <w:szCs w:val="20"/>
        </w:rPr>
        <w:t xml:space="preserve">áh refers to the Bábís in Iraq and states that although Midhat Pasha was entrusted with this matter, no concrete steps were taken.  He thus commissioned Ḥusayn </w:t>
      </w:r>
      <w:r w:rsidRPr="0043703E">
        <w:rPr>
          <w:sz w:val="20"/>
          <w:szCs w:val="20"/>
          <w:u w:val="single"/>
        </w:rPr>
        <w:t>Kh</w:t>
      </w:r>
      <w:r w:rsidRPr="0043703E">
        <w:rPr>
          <w:sz w:val="20"/>
          <w:szCs w:val="20"/>
        </w:rPr>
        <w:t xml:space="preserve">án to communicate with the province of Baghdad in order to arrest and imprison whoever was, or seemed to be, a Bábí; the </w:t>
      </w:r>
      <w:r w:rsidRPr="0043703E">
        <w:rPr>
          <w:sz w:val="20"/>
          <w:szCs w:val="20"/>
          <w:u w:val="single"/>
        </w:rPr>
        <w:t>Sh</w:t>
      </w:r>
      <w:r w:rsidRPr="0043703E">
        <w:rPr>
          <w:sz w:val="20"/>
          <w:szCs w:val="20"/>
        </w:rPr>
        <w:t>áh expected the utmost effort in this matter.  This letter is in the Archives of the Iranian Ministry of Foreign Affairs (</w:t>
      </w:r>
      <w:r w:rsidRPr="0043703E">
        <w:rPr>
          <w:i/>
          <w:sz w:val="20"/>
          <w:szCs w:val="20"/>
        </w:rPr>
        <w:t>Arshıv-i</w:t>
      </w:r>
      <w:r w:rsidR="00771EE4" w:rsidRPr="0043703E">
        <w:rPr>
          <w:i/>
          <w:sz w:val="20"/>
          <w:szCs w:val="20"/>
        </w:rPr>
        <w:t>-</w:t>
      </w:r>
      <w:r w:rsidRPr="0043703E">
        <w:rPr>
          <w:i/>
          <w:sz w:val="20"/>
          <w:szCs w:val="20"/>
        </w:rPr>
        <w:t>Umúr-i</w:t>
      </w:r>
      <w:r w:rsidR="00771EE4" w:rsidRPr="0043703E">
        <w:rPr>
          <w:i/>
          <w:sz w:val="20"/>
          <w:szCs w:val="20"/>
        </w:rPr>
        <w:t>-</w:t>
      </w:r>
      <w:r w:rsidRPr="0043703E">
        <w:rPr>
          <w:i/>
          <w:sz w:val="20"/>
          <w:szCs w:val="20"/>
        </w:rPr>
        <w:t>Vizárat-i</w:t>
      </w:r>
      <w:r w:rsidR="00771EE4" w:rsidRPr="0043703E">
        <w:rPr>
          <w:i/>
          <w:sz w:val="20"/>
          <w:szCs w:val="20"/>
        </w:rPr>
        <w:t>-</w:t>
      </w:r>
      <w:r w:rsidRPr="0043703E">
        <w:rPr>
          <w:i/>
          <w:sz w:val="20"/>
          <w:szCs w:val="20"/>
          <w:u w:val="single"/>
        </w:rPr>
        <w:t>Kh</w:t>
      </w:r>
      <w:r w:rsidRPr="0043703E">
        <w:rPr>
          <w:i/>
          <w:sz w:val="20"/>
          <w:szCs w:val="20"/>
        </w:rPr>
        <w:t>árijiyyih</w:t>
      </w:r>
      <w:r w:rsidRPr="0043703E">
        <w:rPr>
          <w:sz w:val="20"/>
          <w:szCs w:val="20"/>
        </w:rPr>
        <w:t xml:space="preserve">), AVUHI-AM/25, 54; quoted in Mohammad Reza Nasiri, </w:t>
      </w:r>
      <w:r w:rsidRPr="0043703E">
        <w:rPr>
          <w:i/>
          <w:sz w:val="20"/>
          <w:szCs w:val="20"/>
        </w:rPr>
        <w:t>Nâsireddin Şah zamanında Osmanlı-Iran münasebetleri (1848–1896)</w:t>
      </w:r>
      <w:r w:rsidRPr="0043703E">
        <w:rPr>
          <w:sz w:val="20"/>
          <w:szCs w:val="20"/>
        </w:rPr>
        <w:t>, (Tokio:  Institute for the Study of Languages and Cultures of Asia and Africa, 1991) 151–52.</w:t>
      </w:r>
    </w:p>
  </w:footnote>
  <w:footnote w:id="13">
    <w:p w14:paraId="611A7272" w14:textId="77777777" w:rsidR="009D4E15" w:rsidRPr="0043703E" w:rsidRDefault="009D4E15">
      <w:pPr>
        <w:pStyle w:val="FootnoteText"/>
        <w:rPr>
          <w:sz w:val="20"/>
          <w:szCs w:val="20"/>
          <w:lang w:val="en-US"/>
        </w:rPr>
      </w:pPr>
      <w:r w:rsidRPr="0043703E">
        <w:rPr>
          <w:rStyle w:val="FootnoteReference"/>
          <w:sz w:val="20"/>
          <w:szCs w:val="20"/>
        </w:rPr>
        <w:footnoteRef/>
      </w:r>
      <w:r w:rsidRPr="0043703E">
        <w:rPr>
          <w:sz w:val="20"/>
          <w:szCs w:val="20"/>
        </w:rPr>
        <w:tab/>
      </w:r>
      <w:r w:rsidRPr="0043703E">
        <w:rPr>
          <w:i/>
          <w:sz w:val="20"/>
          <w:szCs w:val="20"/>
        </w:rPr>
        <w:t>God Passes By</w:t>
      </w:r>
      <w:r w:rsidRPr="0043703E">
        <w:rPr>
          <w:sz w:val="20"/>
          <w:szCs w:val="20"/>
        </w:rPr>
        <w:t xml:space="preserve"> (Wilmette:  Bahá’í Publishing Trust, 1979 second printing) 242.</w:t>
      </w:r>
    </w:p>
  </w:footnote>
  <w:footnote w:id="14">
    <w:p w14:paraId="4EA57BA5" w14:textId="77777777" w:rsidR="00581F47" w:rsidRPr="0043703E" w:rsidRDefault="00581F47">
      <w:pPr>
        <w:pStyle w:val="FootnoteText"/>
        <w:rPr>
          <w:sz w:val="20"/>
          <w:szCs w:val="20"/>
          <w:lang w:val="en-US"/>
        </w:rPr>
      </w:pPr>
      <w:r w:rsidRPr="0043703E">
        <w:rPr>
          <w:rStyle w:val="FootnoteReference"/>
          <w:sz w:val="20"/>
          <w:szCs w:val="20"/>
        </w:rPr>
        <w:footnoteRef/>
      </w:r>
      <w:r w:rsidRPr="0043703E">
        <w:rPr>
          <w:sz w:val="20"/>
          <w:szCs w:val="20"/>
        </w:rPr>
        <w:tab/>
        <w:t xml:space="preserve">Balyuzi, </w:t>
      </w:r>
      <w:r w:rsidRPr="0043703E">
        <w:rPr>
          <w:i/>
          <w:sz w:val="20"/>
          <w:szCs w:val="20"/>
        </w:rPr>
        <w:t>Bahá’u’lláh</w:t>
      </w:r>
      <w:r w:rsidRPr="0043703E">
        <w:rPr>
          <w:sz w:val="20"/>
          <w:szCs w:val="20"/>
        </w:rPr>
        <w:t xml:space="preserve"> 378.</w:t>
      </w:r>
    </w:p>
  </w:footnote>
  <w:footnote w:id="15">
    <w:p w14:paraId="3D8548ED" w14:textId="77777777" w:rsidR="0072143B" w:rsidRPr="0043703E" w:rsidRDefault="0072143B">
      <w:pPr>
        <w:pStyle w:val="FootnoteText"/>
        <w:rPr>
          <w:sz w:val="20"/>
          <w:szCs w:val="20"/>
          <w:lang w:val="en-US"/>
        </w:rPr>
      </w:pPr>
      <w:r w:rsidRPr="0043703E">
        <w:rPr>
          <w:rStyle w:val="FootnoteReference"/>
          <w:sz w:val="20"/>
          <w:szCs w:val="20"/>
        </w:rPr>
        <w:footnoteRef/>
      </w:r>
      <w:r w:rsidRPr="0043703E">
        <w:rPr>
          <w:sz w:val="20"/>
          <w:szCs w:val="20"/>
        </w:rPr>
        <w:tab/>
        <w:t xml:space="preserve">The edict is in the Başbakanlık Osmanlı Arşivi (Ottoman Archives) in Istanbul, Turkey, </w:t>
      </w:r>
      <w:r w:rsidRPr="0043703E">
        <w:rPr>
          <w:i/>
          <w:sz w:val="20"/>
          <w:szCs w:val="20"/>
        </w:rPr>
        <w:t>Iradeler/Meclis-i</w:t>
      </w:r>
      <w:r w:rsidR="00771EE4" w:rsidRPr="0043703E">
        <w:rPr>
          <w:i/>
          <w:sz w:val="20"/>
          <w:szCs w:val="20"/>
        </w:rPr>
        <w:t>-</w:t>
      </w:r>
      <w:r w:rsidRPr="0043703E">
        <w:rPr>
          <w:i/>
          <w:sz w:val="20"/>
          <w:szCs w:val="20"/>
        </w:rPr>
        <w:t>Mahsus</w:t>
      </w:r>
      <w:r w:rsidRPr="0043703E">
        <w:rPr>
          <w:sz w:val="20"/>
          <w:szCs w:val="20"/>
        </w:rPr>
        <w:t xml:space="preserve"> 1475–1, dated 20 Rabi’ al-awwal 1285/12 July 1868.</w:t>
      </w:r>
    </w:p>
  </w:footnote>
  <w:footnote w:id="16">
    <w:p w14:paraId="3D4B79B9" w14:textId="77777777" w:rsidR="00E33C39" w:rsidRPr="0043703E" w:rsidRDefault="00E33C39">
      <w:pPr>
        <w:pStyle w:val="FootnoteText"/>
        <w:rPr>
          <w:sz w:val="20"/>
          <w:szCs w:val="20"/>
          <w:lang w:val="en-US"/>
        </w:rPr>
      </w:pPr>
      <w:r w:rsidRPr="0043703E">
        <w:rPr>
          <w:rStyle w:val="FootnoteReference"/>
          <w:sz w:val="20"/>
          <w:szCs w:val="20"/>
        </w:rPr>
        <w:footnoteRef/>
      </w:r>
      <w:r w:rsidRPr="0043703E">
        <w:rPr>
          <w:sz w:val="20"/>
          <w:szCs w:val="20"/>
        </w:rPr>
        <w:tab/>
        <w:t xml:space="preserve">The Arabic original is published in </w:t>
      </w:r>
      <w:proofErr w:type="gramStart"/>
      <w:r w:rsidRPr="0043703E">
        <w:rPr>
          <w:i/>
          <w:sz w:val="20"/>
          <w:szCs w:val="20"/>
        </w:rPr>
        <w:t>Majmú‘</w:t>
      </w:r>
      <w:proofErr w:type="gramEnd"/>
      <w:r w:rsidRPr="0043703E">
        <w:rPr>
          <w:i/>
          <w:sz w:val="20"/>
          <w:szCs w:val="20"/>
        </w:rPr>
        <w:t>ih-’í az Alwáh-i</w:t>
      </w:r>
      <w:r w:rsidR="00771EE4" w:rsidRPr="0043703E">
        <w:rPr>
          <w:i/>
          <w:sz w:val="20"/>
          <w:szCs w:val="20"/>
        </w:rPr>
        <w:t>-</w:t>
      </w:r>
      <w:r w:rsidRPr="0043703E">
        <w:rPr>
          <w:i/>
          <w:sz w:val="20"/>
          <w:szCs w:val="20"/>
        </w:rPr>
        <w:t>Jamál-i</w:t>
      </w:r>
      <w:r w:rsidR="00771EE4" w:rsidRPr="0043703E">
        <w:rPr>
          <w:i/>
          <w:sz w:val="20"/>
          <w:szCs w:val="20"/>
        </w:rPr>
        <w:t>-</w:t>
      </w:r>
      <w:r w:rsidRPr="0043703E">
        <w:rPr>
          <w:i/>
          <w:sz w:val="20"/>
          <w:szCs w:val="20"/>
        </w:rPr>
        <w:t>Aqdas-i</w:t>
      </w:r>
      <w:r w:rsidR="00771EE4" w:rsidRPr="0043703E">
        <w:rPr>
          <w:i/>
          <w:sz w:val="20"/>
          <w:szCs w:val="20"/>
        </w:rPr>
        <w:t>-</w:t>
      </w:r>
      <w:r w:rsidRPr="0043703E">
        <w:rPr>
          <w:i/>
          <w:sz w:val="20"/>
          <w:szCs w:val="20"/>
        </w:rPr>
        <w:t>Abhá kih ba‘d az Kitáb-i</w:t>
      </w:r>
      <w:r w:rsidR="00771EE4" w:rsidRPr="0043703E">
        <w:rPr>
          <w:i/>
          <w:sz w:val="20"/>
          <w:szCs w:val="20"/>
        </w:rPr>
        <w:t>-</w:t>
      </w:r>
      <w:r w:rsidRPr="0043703E">
        <w:rPr>
          <w:i/>
          <w:sz w:val="20"/>
          <w:szCs w:val="20"/>
        </w:rPr>
        <w:t xml:space="preserve">Aqdas Názil </w:t>
      </w:r>
      <w:r w:rsidRPr="0043703E">
        <w:rPr>
          <w:i/>
          <w:sz w:val="20"/>
          <w:szCs w:val="20"/>
          <w:u w:val="single"/>
        </w:rPr>
        <w:t>Sh</w:t>
      </w:r>
      <w:r w:rsidRPr="0043703E">
        <w:rPr>
          <w:i/>
          <w:sz w:val="20"/>
          <w:szCs w:val="20"/>
        </w:rPr>
        <w:t>udih</w:t>
      </w:r>
      <w:r w:rsidRPr="0043703E">
        <w:rPr>
          <w:sz w:val="20"/>
          <w:szCs w:val="20"/>
        </w:rPr>
        <w:t xml:space="preserve"> (Langenhain:  Bahá’í-Verlag, BE 137/1980) 138; English tr. in </w:t>
      </w:r>
      <w:r w:rsidRPr="0043703E">
        <w:rPr>
          <w:i/>
          <w:sz w:val="20"/>
          <w:szCs w:val="20"/>
        </w:rPr>
        <w:t>Tablets of Bahá’u’lláh</w:t>
      </w:r>
      <w:r w:rsidRPr="0043703E">
        <w:rPr>
          <w:sz w:val="20"/>
          <w:szCs w:val="20"/>
        </w:rPr>
        <w:t xml:space="preserve"> (Wilmette:  Bahá’í Publishing Trust, 1988) 227–28.</w:t>
      </w:r>
    </w:p>
  </w:footnote>
  <w:footnote w:id="17">
    <w:p w14:paraId="13898EF1" w14:textId="77777777" w:rsidR="001225E0" w:rsidRPr="0043703E" w:rsidRDefault="001225E0">
      <w:pPr>
        <w:pStyle w:val="FootnoteText"/>
        <w:rPr>
          <w:sz w:val="20"/>
          <w:szCs w:val="20"/>
          <w:lang w:val="en-US"/>
        </w:rPr>
      </w:pPr>
      <w:r w:rsidRPr="0043703E">
        <w:rPr>
          <w:rStyle w:val="FootnoteReference"/>
          <w:sz w:val="20"/>
          <w:szCs w:val="20"/>
        </w:rPr>
        <w:footnoteRef/>
      </w:r>
      <w:r w:rsidRPr="0043703E">
        <w:rPr>
          <w:sz w:val="20"/>
          <w:szCs w:val="20"/>
        </w:rPr>
        <w:tab/>
      </w:r>
      <w:r w:rsidRPr="0043703E">
        <w:rPr>
          <w:i/>
          <w:sz w:val="20"/>
          <w:szCs w:val="20"/>
        </w:rPr>
        <w:t>God Passes By</w:t>
      </w:r>
      <w:r w:rsidRPr="0043703E">
        <w:rPr>
          <w:sz w:val="20"/>
          <w:szCs w:val="20"/>
        </w:rPr>
        <w:t xml:space="preserve"> 243; the amanuensis was Mírzá Áqá Ján (see below).</w:t>
      </w:r>
    </w:p>
  </w:footnote>
  <w:footnote w:id="18">
    <w:p w14:paraId="1F3D7A23" w14:textId="77777777" w:rsidR="00B332DC" w:rsidRPr="0043703E" w:rsidRDefault="00B332DC">
      <w:pPr>
        <w:pStyle w:val="FootnoteText"/>
        <w:rPr>
          <w:sz w:val="20"/>
          <w:szCs w:val="20"/>
          <w:lang w:val="en-US"/>
        </w:rPr>
      </w:pPr>
      <w:r w:rsidRPr="0043703E">
        <w:rPr>
          <w:rStyle w:val="FootnoteReference"/>
          <w:sz w:val="20"/>
          <w:szCs w:val="20"/>
        </w:rPr>
        <w:footnoteRef/>
      </w:r>
      <w:r w:rsidRPr="0043703E">
        <w:rPr>
          <w:sz w:val="20"/>
          <w:szCs w:val="20"/>
        </w:rPr>
        <w:tab/>
        <w:t>idem, 193.</w:t>
      </w:r>
    </w:p>
  </w:footnote>
  <w:footnote w:id="19">
    <w:p w14:paraId="1483483D" w14:textId="77777777" w:rsidR="009A4320" w:rsidRPr="0043703E" w:rsidRDefault="009A4320">
      <w:pPr>
        <w:pStyle w:val="FootnoteText"/>
        <w:rPr>
          <w:sz w:val="20"/>
          <w:szCs w:val="20"/>
          <w:lang w:val="en-US"/>
        </w:rPr>
      </w:pPr>
      <w:r w:rsidRPr="0043703E">
        <w:rPr>
          <w:rStyle w:val="FootnoteReference"/>
          <w:sz w:val="20"/>
          <w:szCs w:val="20"/>
        </w:rPr>
        <w:footnoteRef/>
      </w:r>
      <w:r w:rsidRPr="0043703E">
        <w:rPr>
          <w:sz w:val="20"/>
          <w:szCs w:val="20"/>
        </w:rPr>
        <w:tab/>
        <w:t xml:space="preserve">Both Shoghi Effendi and Hasan Balyuzi may have the information from Ḥusayn Ávárih “Áyatí”, </w:t>
      </w:r>
      <w:r w:rsidRPr="0043703E">
        <w:rPr>
          <w:i/>
          <w:sz w:val="20"/>
          <w:szCs w:val="20"/>
        </w:rPr>
        <w:t xml:space="preserve">al-Kawákib ad-Durriyya </w:t>
      </w:r>
      <w:r w:rsidRPr="0043703E">
        <w:rPr>
          <w:sz w:val="20"/>
          <w:szCs w:val="20"/>
        </w:rPr>
        <w:t xml:space="preserve">(“Brilliant Stars”), (Cairo:  </w:t>
      </w:r>
      <w:proofErr w:type="gramStart"/>
      <w:r w:rsidRPr="0043703E">
        <w:rPr>
          <w:sz w:val="20"/>
          <w:szCs w:val="20"/>
        </w:rPr>
        <w:t>Matba‘</w:t>
      </w:r>
      <w:proofErr w:type="gramEnd"/>
      <w:r w:rsidRPr="0043703E">
        <w:rPr>
          <w:sz w:val="20"/>
          <w:szCs w:val="20"/>
        </w:rPr>
        <w:t>at as-Sa‘áda, 1924, see www.h-net.org/~bahai/areprint/vol4/kd2/kd2.htm, viewed 15 November 2004) 2:17.  This is discussed below.</w:t>
      </w:r>
    </w:p>
  </w:footnote>
  <w:footnote w:id="20">
    <w:p w14:paraId="0B77167E" w14:textId="77777777" w:rsidR="00B22D78" w:rsidRPr="0043703E" w:rsidRDefault="00B22D78">
      <w:pPr>
        <w:pStyle w:val="FootnoteText"/>
        <w:rPr>
          <w:sz w:val="20"/>
          <w:szCs w:val="20"/>
          <w:lang w:val="en-US"/>
        </w:rPr>
      </w:pPr>
      <w:r w:rsidRPr="0043703E">
        <w:rPr>
          <w:rStyle w:val="FootnoteReference"/>
          <w:sz w:val="20"/>
          <w:szCs w:val="20"/>
        </w:rPr>
        <w:footnoteRef/>
      </w:r>
      <w:r w:rsidRPr="0043703E">
        <w:rPr>
          <w:sz w:val="20"/>
          <w:szCs w:val="20"/>
        </w:rPr>
        <w:tab/>
        <w:t xml:space="preserve">Midhat Pasha, </w:t>
      </w:r>
      <w:r w:rsidRPr="0043703E">
        <w:rPr>
          <w:i/>
          <w:sz w:val="20"/>
          <w:szCs w:val="20"/>
        </w:rPr>
        <w:t>Tabsira-i</w:t>
      </w:r>
      <w:r w:rsidR="00771EE4" w:rsidRPr="0043703E">
        <w:rPr>
          <w:i/>
          <w:sz w:val="20"/>
          <w:szCs w:val="20"/>
        </w:rPr>
        <w:t>-</w:t>
      </w:r>
      <w:r w:rsidRPr="0043703E">
        <w:rPr>
          <w:i/>
          <w:sz w:val="20"/>
          <w:szCs w:val="20"/>
        </w:rPr>
        <w:t>Ibret and Mir’ât-ı</w:t>
      </w:r>
      <w:r w:rsidR="00771EE4" w:rsidRPr="0043703E">
        <w:rPr>
          <w:i/>
          <w:sz w:val="20"/>
          <w:szCs w:val="20"/>
        </w:rPr>
        <w:t>-</w:t>
      </w:r>
      <w:r w:rsidRPr="0043703E">
        <w:rPr>
          <w:i/>
          <w:sz w:val="20"/>
          <w:szCs w:val="20"/>
        </w:rPr>
        <w:t>Hayret</w:t>
      </w:r>
      <w:r w:rsidRPr="0043703E">
        <w:rPr>
          <w:sz w:val="20"/>
          <w:szCs w:val="20"/>
        </w:rPr>
        <w:t xml:space="preserve"> (2 vols. in one, Istanbul 1325/1906–07).  In modern Turkish:  Osman Selim Kocahanoğlu (ed.):  </w:t>
      </w:r>
      <w:r w:rsidRPr="0043703E">
        <w:rPr>
          <w:i/>
          <w:sz w:val="20"/>
          <w:szCs w:val="20"/>
        </w:rPr>
        <w:t xml:space="preserve">Midhat Paşa’nın Hatıraları:  Hayatım Ibret Olsun and Yıldız Mahkemesi ve Taif Zindanı </w:t>
      </w:r>
      <w:r w:rsidRPr="0043703E">
        <w:rPr>
          <w:sz w:val="20"/>
          <w:szCs w:val="20"/>
        </w:rPr>
        <w:t xml:space="preserve">(Temel:  Istanbul 2003).  </w:t>
      </w:r>
      <w:proofErr w:type="gramStart"/>
      <w:r w:rsidRPr="0043703E">
        <w:rPr>
          <w:sz w:val="20"/>
          <w:szCs w:val="20"/>
        </w:rPr>
        <w:t>Moreover</w:t>
      </w:r>
      <w:proofErr w:type="gramEnd"/>
      <w:r w:rsidRPr="0043703E">
        <w:rPr>
          <w:sz w:val="20"/>
          <w:szCs w:val="20"/>
        </w:rPr>
        <w:t xml:space="preserve"> no reference to this is made by his son Ali Haydar Midhat in </w:t>
      </w:r>
      <w:r w:rsidRPr="0043703E">
        <w:rPr>
          <w:i/>
          <w:sz w:val="20"/>
          <w:szCs w:val="20"/>
        </w:rPr>
        <w:t>The life of Midhat Pasha:  a record of his services, political reforms, banishment, and judicial murder derived from private documents and reminiscences by his son Ali Haydar Midhat Bey</w:t>
      </w:r>
      <w:r w:rsidRPr="0043703E">
        <w:rPr>
          <w:sz w:val="20"/>
          <w:szCs w:val="20"/>
        </w:rPr>
        <w:t xml:space="preserve"> (London:  John Murray, 1903); idem </w:t>
      </w:r>
      <w:r w:rsidRPr="0043703E">
        <w:rPr>
          <w:i/>
          <w:sz w:val="20"/>
          <w:szCs w:val="20"/>
        </w:rPr>
        <w:t>Midhat-Pacha:  sa vie—son oeuvre</w:t>
      </w:r>
      <w:r w:rsidRPr="0043703E">
        <w:rPr>
          <w:sz w:val="20"/>
          <w:szCs w:val="20"/>
        </w:rPr>
        <w:t xml:space="preserve"> (Paris:  Stock, 1908).  Ali Haydar may have omitted Bahá’í references.</w:t>
      </w:r>
    </w:p>
  </w:footnote>
  <w:footnote w:id="21">
    <w:p w14:paraId="72A69A71" w14:textId="77777777" w:rsidR="000A4EA2" w:rsidRPr="0043703E" w:rsidRDefault="000A4EA2">
      <w:pPr>
        <w:pStyle w:val="FootnoteText"/>
        <w:rPr>
          <w:sz w:val="20"/>
          <w:szCs w:val="20"/>
          <w:lang w:val="en-US"/>
        </w:rPr>
      </w:pPr>
      <w:r w:rsidRPr="0043703E">
        <w:rPr>
          <w:rStyle w:val="FootnoteReference"/>
          <w:sz w:val="20"/>
          <w:szCs w:val="20"/>
        </w:rPr>
        <w:footnoteRef/>
      </w:r>
      <w:r w:rsidRPr="0043703E">
        <w:rPr>
          <w:sz w:val="20"/>
          <w:szCs w:val="20"/>
        </w:rPr>
        <w:tab/>
        <w:t xml:space="preserve">Hasan M. Balyuzi, </w:t>
      </w:r>
      <w:r w:rsidRPr="0043703E">
        <w:rPr>
          <w:i/>
          <w:sz w:val="20"/>
          <w:szCs w:val="20"/>
        </w:rPr>
        <w:t>‘Abdu’l-Bahá</w:t>
      </w:r>
      <w:r w:rsidRPr="0043703E">
        <w:rPr>
          <w:sz w:val="20"/>
          <w:szCs w:val="20"/>
        </w:rPr>
        <w:t xml:space="preserve"> (George Ronald:  London 1971) 37–38.</w:t>
      </w:r>
    </w:p>
  </w:footnote>
  <w:footnote w:id="22">
    <w:p w14:paraId="7C7FC381" w14:textId="77777777" w:rsidR="00DA7535" w:rsidRPr="0043703E" w:rsidRDefault="00DA7535">
      <w:pPr>
        <w:pStyle w:val="FootnoteText"/>
        <w:rPr>
          <w:sz w:val="20"/>
          <w:szCs w:val="20"/>
          <w:lang w:val="en-US"/>
        </w:rPr>
      </w:pPr>
      <w:r w:rsidRPr="0043703E">
        <w:rPr>
          <w:rStyle w:val="FootnoteReference"/>
          <w:sz w:val="20"/>
          <w:szCs w:val="20"/>
        </w:rPr>
        <w:footnoteRef/>
      </w:r>
      <w:r w:rsidRPr="0043703E">
        <w:rPr>
          <w:sz w:val="20"/>
          <w:szCs w:val="20"/>
        </w:rPr>
        <w:tab/>
        <w:t>idem, 38.</w:t>
      </w:r>
    </w:p>
  </w:footnote>
  <w:footnote w:id="23">
    <w:p w14:paraId="4C7C1FC7" w14:textId="77777777" w:rsidR="0005148F" w:rsidRPr="0043703E" w:rsidRDefault="0005148F">
      <w:pPr>
        <w:pStyle w:val="FootnoteText"/>
        <w:rPr>
          <w:sz w:val="20"/>
          <w:szCs w:val="20"/>
          <w:lang w:val="en-US"/>
        </w:rPr>
      </w:pPr>
      <w:r w:rsidRPr="0043703E">
        <w:rPr>
          <w:rStyle w:val="FootnoteReference"/>
          <w:sz w:val="20"/>
          <w:szCs w:val="20"/>
        </w:rPr>
        <w:footnoteRef/>
      </w:r>
      <w:r w:rsidRPr="0043703E">
        <w:rPr>
          <w:sz w:val="20"/>
          <w:szCs w:val="20"/>
        </w:rPr>
        <w:tab/>
        <w:t xml:space="preserve">Balyuzi, </w:t>
      </w:r>
      <w:r w:rsidRPr="0043703E">
        <w:rPr>
          <w:i/>
          <w:sz w:val="20"/>
          <w:szCs w:val="20"/>
        </w:rPr>
        <w:t>Bahá’u’lláh</w:t>
      </w:r>
      <w:r w:rsidRPr="0043703E">
        <w:rPr>
          <w:sz w:val="20"/>
          <w:szCs w:val="20"/>
        </w:rPr>
        <w:t xml:space="preserve"> 378.</w:t>
      </w:r>
    </w:p>
  </w:footnote>
  <w:footnote w:id="24">
    <w:p w14:paraId="50DBEF22" w14:textId="77777777" w:rsidR="006A3E81" w:rsidRPr="0043703E" w:rsidRDefault="006A3E81">
      <w:pPr>
        <w:pStyle w:val="FootnoteText"/>
        <w:rPr>
          <w:sz w:val="20"/>
          <w:szCs w:val="20"/>
          <w:lang w:val="en-US"/>
        </w:rPr>
      </w:pPr>
      <w:r w:rsidRPr="0043703E">
        <w:rPr>
          <w:rStyle w:val="FootnoteReference"/>
          <w:sz w:val="20"/>
          <w:szCs w:val="20"/>
        </w:rPr>
        <w:footnoteRef/>
      </w:r>
      <w:r w:rsidRPr="0043703E">
        <w:rPr>
          <w:sz w:val="20"/>
          <w:szCs w:val="20"/>
        </w:rPr>
        <w:tab/>
      </w:r>
      <w:r w:rsidR="00373E6C" w:rsidRPr="0043703E">
        <w:rPr>
          <w:sz w:val="20"/>
          <w:szCs w:val="20"/>
        </w:rPr>
        <w:t>i</w:t>
      </w:r>
      <w:r w:rsidRPr="0043703E">
        <w:rPr>
          <w:sz w:val="20"/>
          <w:szCs w:val="20"/>
        </w:rPr>
        <w:t>bid.</w:t>
      </w:r>
    </w:p>
  </w:footnote>
  <w:footnote w:id="25">
    <w:p w14:paraId="2071BD07" w14:textId="77777777" w:rsidR="008E6A86" w:rsidRPr="0043703E" w:rsidRDefault="008E6A86">
      <w:pPr>
        <w:pStyle w:val="FootnoteText"/>
        <w:rPr>
          <w:sz w:val="20"/>
          <w:szCs w:val="20"/>
        </w:rPr>
      </w:pPr>
      <w:r w:rsidRPr="0043703E">
        <w:rPr>
          <w:rStyle w:val="FootnoteReference"/>
          <w:sz w:val="20"/>
          <w:szCs w:val="20"/>
        </w:rPr>
        <w:footnoteRef/>
      </w:r>
      <w:r w:rsidRPr="0043703E">
        <w:rPr>
          <w:sz w:val="20"/>
          <w:szCs w:val="20"/>
        </w:rPr>
        <w:tab/>
      </w:r>
      <w:r w:rsidRPr="0043703E">
        <w:rPr>
          <w:i/>
          <w:sz w:val="20"/>
          <w:szCs w:val="20"/>
          <w:u w:val="single"/>
        </w:rPr>
        <w:t>Th</w:t>
      </w:r>
      <w:r w:rsidRPr="0043703E">
        <w:rPr>
          <w:i/>
          <w:sz w:val="20"/>
          <w:szCs w:val="20"/>
        </w:rPr>
        <w:t xml:space="preserve">amarát al-Funún </w:t>
      </w:r>
      <w:r w:rsidRPr="0043703E">
        <w:rPr>
          <w:sz w:val="20"/>
          <w:szCs w:val="20"/>
        </w:rPr>
        <w:t>(“The fruits of the Arts”), 29 Jumáda a</w:t>
      </w:r>
      <w:r w:rsidRPr="0043703E">
        <w:rPr>
          <w:sz w:val="20"/>
          <w:szCs w:val="20"/>
          <w:u w:val="single"/>
        </w:rPr>
        <w:t>th</w:t>
      </w:r>
      <w:r w:rsidRPr="0043703E">
        <w:rPr>
          <w:sz w:val="20"/>
          <w:szCs w:val="20"/>
        </w:rPr>
        <w:t>-</w:t>
      </w:r>
      <w:r w:rsidRPr="0043703E">
        <w:rPr>
          <w:sz w:val="20"/>
          <w:szCs w:val="20"/>
          <w:u w:val="single"/>
        </w:rPr>
        <w:t>th</w:t>
      </w:r>
      <w:r w:rsidRPr="0043703E">
        <w:rPr>
          <w:sz w:val="20"/>
          <w:szCs w:val="20"/>
        </w:rPr>
        <w:t>ání 1297/8 June 1880 (Tuesday), p. 1.</w:t>
      </w:r>
    </w:p>
    <w:p w14:paraId="466D6892" w14:textId="77777777" w:rsidR="008E6A86" w:rsidRPr="0043703E" w:rsidRDefault="00D27B7D" w:rsidP="00D27B7D">
      <w:pPr>
        <w:pStyle w:val="FootnoteText"/>
        <w:spacing w:before="40"/>
        <w:rPr>
          <w:sz w:val="20"/>
          <w:szCs w:val="20"/>
          <w:lang w:val="en-US"/>
        </w:rPr>
      </w:pPr>
      <w:r w:rsidRPr="0043703E">
        <w:rPr>
          <w:sz w:val="22"/>
          <w:szCs w:val="22"/>
          <w:lang w:val="en-US"/>
        </w:rPr>
        <w:tab/>
      </w:r>
      <w:r w:rsidR="008E6A86" w:rsidRPr="0043703E">
        <w:rPr>
          <w:sz w:val="22"/>
          <w:szCs w:val="22"/>
          <w:rtl/>
        </w:rPr>
        <w:t xml:space="preserve">قدم الى بلدنا جناب العالم الفاضل الذكي الماجد عباس </w:t>
      </w:r>
      <w:proofErr w:type="gramStart"/>
      <w:r w:rsidR="008E6A86" w:rsidRPr="0043703E">
        <w:rPr>
          <w:sz w:val="22"/>
          <w:szCs w:val="22"/>
          <w:rtl/>
        </w:rPr>
        <w:t>افندي</w:t>
      </w:r>
      <w:proofErr w:type="gramEnd"/>
      <w:r w:rsidR="008E6A86" w:rsidRPr="0043703E">
        <w:rPr>
          <w:sz w:val="22"/>
          <w:szCs w:val="22"/>
          <w:rtl/>
        </w:rPr>
        <w:t xml:space="preserve"> نزيل مدينة عكا و قدومه بقصد تبديل الهواء اناله الله الصحة</w:t>
      </w:r>
    </w:p>
  </w:footnote>
  <w:footnote w:id="26">
    <w:p w14:paraId="6E517743" w14:textId="77777777" w:rsidR="008E6A86" w:rsidRPr="0043703E" w:rsidRDefault="008E6A86">
      <w:pPr>
        <w:pStyle w:val="FootnoteText"/>
        <w:rPr>
          <w:sz w:val="20"/>
          <w:szCs w:val="20"/>
          <w:lang w:val="en-US"/>
        </w:rPr>
      </w:pPr>
      <w:r w:rsidRPr="0043703E">
        <w:rPr>
          <w:rStyle w:val="FootnoteReference"/>
          <w:sz w:val="20"/>
          <w:szCs w:val="20"/>
        </w:rPr>
        <w:footnoteRef/>
      </w:r>
      <w:r w:rsidRPr="0043703E">
        <w:rPr>
          <w:sz w:val="20"/>
          <w:szCs w:val="20"/>
        </w:rPr>
        <w:tab/>
        <w:t xml:space="preserve">This is because of the illegibility of many issues of this newspaper at the Library of the University of Haifa.  My thanks to Prof. Butrus Abu-Manneh for bringing this newspaper to my attention and to Dr Fruma Zachs for providing access to the newspaper </w:t>
      </w:r>
      <w:r w:rsidRPr="0043703E">
        <w:rPr>
          <w:i/>
          <w:sz w:val="20"/>
          <w:szCs w:val="20"/>
        </w:rPr>
        <w:t>al-Janna</w:t>
      </w:r>
      <w:r w:rsidRPr="0043703E">
        <w:rPr>
          <w:sz w:val="20"/>
          <w:szCs w:val="20"/>
        </w:rPr>
        <w:t xml:space="preserve"> (though no mention of ‘Abbás Afandí could be found here).</w:t>
      </w:r>
    </w:p>
  </w:footnote>
  <w:footnote w:id="27">
    <w:p w14:paraId="46593775" w14:textId="77777777" w:rsidR="008F7FA4" w:rsidRPr="0043703E" w:rsidRDefault="008F7FA4">
      <w:pPr>
        <w:pStyle w:val="FootnoteText"/>
        <w:rPr>
          <w:sz w:val="20"/>
          <w:szCs w:val="20"/>
          <w:lang w:val="en-US"/>
        </w:rPr>
      </w:pPr>
      <w:r w:rsidRPr="0043703E">
        <w:rPr>
          <w:rStyle w:val="FootnoteReference"/>
          <w:sz w:val="20"/>
          <w:szCs w:val="20"/>
        </w:rPr>
        <w:footnoteRef/>
      </w:r>
      <w:r w:rsidRPr="0043703E">
        <w:rPr>
          <w:sz w:val="20"/>
          <w:szCs w:val="20"/>
        </w:rPr>
        <w:tab/>
        <w:t>E-mail of Erica Leith (George Ronald Books) to Moojan Momen, dated 19 August 2004, forwarded to Necati Alkan on the same date.  According to the e-mail the information that formed the basis for this change came from Mr Abdullah Mesbah, a former member of the Research Department at the Bahá’í World Centre.</w:t>
      </w:r>
    </w:p>
  </w:footnote>
  <w:footnote w:id="28">
    <w:p w14:paraId="67B14F8E" w14:textId="77777777" w:rsidR="0019486F" w:rsidRPr="0043703E" w:rsidRDefault="0019486F">
      <w:pPr>
        <w:pStyle w:val="FootnoteText"/>
        <w:rPr>
          <w:sz w:val="20"/>
          <w:szCs w:val="20"/>
          <w:lang w:val="en-US"/>
        </w:rPr>
      </w:pPr>
      <w:r w:rsidRPr="0043703E">
        <w:rPr>
          <w:rStyle w:val="FootnoteReference"/>
          <w:sz w:val="20"/>
          <w:szCs w:val="20"/>
        </w:rPr>
        <w:footnoteRef/>
      </w:r>
      <w:r w:rsidRPr="0043703E">
        <w:rPr>
          <w:sz w:val="20"/>
          <w:szCs w:val="20"/>
        </w:rPr>
        <w:tab/>
        <w:t xml:space="preserve">This corresponds </w:t>
      </w:r>
      <w:proofErr w:type="gramStart"/>
      <w:r w:rsidRPr="0043703E">
        <w:rPr>
          <w:sz w:val="20"/>
          <w:szCs w:val="20"/>
        </w:rPr>
        <w:t>actually to</w:t>
      </w:r>
      <w:proofErr w:type="gramEnd"/>
      <w:r w:rsidRPr="0043703E">
        <w:rPr>
          <w:sz w:val="20"/>
          <w:szCs w:val="20"/>
        </w:rPr>
        <w:t xml:space="preserve"> 18 June 1880.</w:t>
      </w:r>
    </w:p>
  </w:footnote>
  <w:footnote w:id="29">
    <w:p w14:paraId="1845E270" w14:textId="77777777" w:rsidR="00EB67D4" w:rsidRPr="0043703E" w:rsidRDefault="00EB67D4">
      <w:pPr>
        <w:pStyle w:val="FootnoteText"/>
        <w:rPr>
          <w:sz w:val="20"/>
          <w:szCs w:val="20"/>
          <w:lang w:val="en-US"/>
        </w:rPr>
      </w:pPr>
      <w:r w:rsidRPr="0043703E">
        <w:rPr>
          <w:rStyle w:val="FootnoteReference"/>
          <w:sz w:val="20"/>
          <w:szCs w:val="20"/>
        </w:rPr>
        <w:footnoteRef/>
      </w:r>
      <w:r w:rsidRPr="0043703E">
        <w:rPr>
          <w:sz w:val="20"/>
          <w:szCs w:val="20"/>
        </w:rPr>
        <w:tab/>
        <w:t>Research Department Memorandum dated 9 December 2004.</w:t>
      </w:r>
    </w:p>
  </w:footnote>
  <w:footnote w:id="30">
    <w:p w14:paraId="4C0CB316" w14:textId="77777777" w:rsidR="002726DC" w:rsidRPr="0043703E" w:rsidRDefault="002726DC">
      <w:pPr>
        <w:pStyle w:val="FootnoteText"/>
        <w:rPr>
          <w:sz w:val="20"/>
          <w:szCs w:val="20"/>
          <w:lang w:val="en-US"/>
        </w:rPr>
      </w:pPr>
      <w:r w:rsidRPr="0043703E">
        <w:rPr>
          <w:rStyle w:val="FootnoteReference"/>
          <w:sz w:val="20"/>
          <w:szCs w:val="20"/>
        </w:rPr>
        <w:footnoteRef/>
      </w:r>
      <w:r w:rsidRPr="0043703E">
        <w:rPr>
          <w:sz w:val="20"/>
          <w:szCs w:val="20"/>
        </w:rPr>
        <w:tab/>
        <w:t>ibid.</w:t>
      </w:r>
    </w:p>
  </w:footnote>
  <w:footnote w:id="31">
    <w:p w14:paraId="1E3F2903" w14:textId="77777777" w:rsidR="000815A4" w:rsidRPr="0043703E" w:rsidRDefault="000815A4">
      <w:pPr>
        <w:pStyle w:val="FootnoteText"/>
        <w:rPr>
          <w:sz w:val="20"/>
          <w:szCs w:val="20"/>
          <w:lang w:val="en-US"/>
        </w:rPr>
      </w:pPr>
      <w:r w:rsidRPr="0043703E">
        <w:rPr>
          <w:rStyle w:val="FootnoteReference"/>
          <w:sz w:val="20"/>
          <w:szCs w:val="20"/>
        </w:rPr>
        <w:footnoteRef/>
      </w:r>
      <w:r w:rsidRPr="0043703E">
        <w:rPr>
          <w:sz w:val="20"/>
          <w:szCs w:val="20"/>
        </w:rPr>
        <w:tab/>
        <w:t xml:space="preserve">British consular records state that Midhat Pasha visited Haifa and ‘Akká in May 1880; Public Record Office (London, UK), FO 195 1201 and 1306; see Balyuzi, </w:t>
      </w:r>
      <w:r w:rsidRPr="0043703E">
        <w:rPr>
          <w:i/>
          <w:sz w:val="20"/>
          <w:szCs w:val="20"/>
        </w:rPr>
        <w:t>Bahá’u’lláh</w:t>
      </w:r>
      <w:r w:rsidRPr="0043703E">
        <w:rPr>
          <w:sz w:val="20"/>
          <w:szCs w:val="20"/>
        </w:rPr>
        <w:t xml:space="preserve"> 378, footnote.</w:t>
      </w:r>
    </w:p>
  </w:footnote>
  <w:footnote w:id="32">
    <w:p w14:paraId="78151FA5" w14:textId="77777777" w:rsidR="00DE12CA" w:rsidRPr="0043703E" w:rsidRDefault="00DE12CA">
      <w:pPr>
        <w:pStyle w:val="FootnoteText"/>
        <w:rPr>
          <w:sz w:val="20"/>
          <w:szCs w:val="20"/>
          <w:lang w:val="en-US"/>
        </w:rPr>
      </w:pPr>
      <w:r w:rsidRPr="0043703E">
        <w:rPr>
          <w:rStyle w:val="FootnoteReference"/>
          <w:sz w:val="20"/>
          <w:szCs w:val="20"/>
        </w:rPr>
        <w:footnoteRef/>
      </w:r>
      <w:r w:rsidRPr="0043703E">
        <w:rPr>
          <w:sz w:val="20"/>
          <w:szCs w:val="20"/>
        </w:rPr>
        <w:tab/>
        <w:t xml:space="preserve">Áyatí, </w:t>
      </w:r>
      <w:r w:rsidRPr="0043703E">
        <w:rPr>
          <w:i/>
          <w:sz w:val="20"/>
          <w:szCs w:val="20"/>
        </w:rPr>
        <w:t>al-Kawákib ad-Durriyya</w:t>
      </w:r>
      <w:r w:rsidRPr="0043703E">
        <w:rPr>
          <w:sz w:val="20"/>
          <w:szCs w:val="20"/>
        </w:rPr>
        <w:t xml:space="preserve"> 2:17.</w:t>
      </w:r>
    </w:p>
  </w:footnote>
  <w:footnote w:id="33">
    <w:p w14:paraId="5D6BE8B0" w14:textId="77777777" w:rsidR="00CC0CBA" w:rsidRPr="0043703E" w:rsidRDefault="00CC0CBA">
      <w:pPr>
        <w:pStyle w:val="FootnoteText"/>
        <w:rPr>
          <w:sz w:val="20"/>
          <w:szCs w:val="20"/>
          <w:lang w:val="en-US"/>
        </w:rPr>
      </w:pPr>
      <w:r w:rsidRPr="0043703E">
        <w:rPr>
          <w:rStyle w:val="FootnoteReference"/>
          <w:sz w:val="20"/>
          <w:szCs w:val="20"/>
        </w:rPr>
        <w:footnoteRef/>
      </w:r>
      <w:r w:rsidRPr="0043703E">
        <w:rPr>
          <w:sz w:val="20"/>
          <w:szCs w:val="20"/>
        </w:rPr>
        <w:tab/>
        <w:t>I am grateful to Sohail Farhad for bringing this source to my attention.  The Bahá’í World Centre Archives cataloguing of this item is</w:t>
      </w:r>
      <w:proofErr w:type="gramStart"/>
      <w:r w:rsidRPr="0043703E">
        <w:rPr>
          <w:sz w:val="20"/>
          <w:szCs w:val="20"/>
        </w:rPr>
        <w:t>:  ‘</w:t>
      </w:r>
      <w:proofErr w:type="gramEnd"/>
      <w:r w:rsidRPr="0043703E">
        <w:rPr>
          <w:sz w:val="20"/>
          <w:szCs w:val="20"/>
        </w:rPr>
        <w:t xml:space="preserve">M1239, Work proving authenticity of the Bahá’í Faith.  Holograph, over 400 pages, some pages missing.  </w:t>
      </w:r>
      <w:proofErr w:type="gramStart"/>
      <w:r w:rsidRPr="0043703E">
        <w:rPr>
          <w:sz w:val="20"/>
          <w:szCs w:val="20"/>
        </w:rPr>
        <w:t>Also</w:t>
      </w:r>
      <w:proofErr w:type="gramEnd"/>
      <w:r w:rsidRPr="0043703E">
        <w:rPr>
          <w:sz w:val="20"/>
          <w:szCs w:val="20"/>
        </w:rPr>
        <w:t xml:space="preserve"> some articles and essays, including about the martyrs of Yazd and other places (ZAM:  Papers of Ḥájí Mírzá Ḥaydar ‘Alí).’  I am beholden to the Universal House of Justice for providing the photocopies of the pages 198–200 of this unpublished manuscript (Bahá’í World Centre, Memorandum to Necati Alkan, dated 15 June 2004).</w:t>
      </w:r>
    </w:p>
  </w:footnote>
  <w:footnote w:id="34">
    <w:p w14:paraId="0FCA8993" w14:textId="77777777" w:rsidR="00B74E56" w:rsidRPr="0043703E" w:rsidRDefault="00B74E56">
      <w:pPr>
        <w:pStyle w:val="FootnoteText"/>
        <w:rPr>
          <w:sz w:val="20"/>
          <w:szCs w:val="20"/>
          <w:lang w:val="en-US"/>
        </w:rPr>
      </w:pPr>
      <w:r w:rsidRPr="0043703E">
        <w:rPr>
          <w:rStyle w:val="FootnoteReference"/>
          <w:sz w:val="20"/>
          <w:szCs w:val="20"/>
        </w:rPr>
        <w:footnoteRef/>
      </w:r>
      <w:r w:rsidRPr="0043703E">
        <w:rPr>
          <w:sz w:val="20"/>
          <w:szCs w:val="20"/>
        </w:rPr>
        <w:tab/>
        <w:t xml:space="preserve">On Ḥájí Mírzá Ḥaydar ‘Alí, see his </w:t>
      </w:r>
      <w:r w:rsidRPr="0043703E">
        <w:rPr>
          <w:i/>
          <w:sz w:val="20"/>
          <w:szCs w:val="20"/>
        </w:rPr>
        <w:t>Bihjat aṣ-Ṣudúr</w:t>
      </w:r>
      <w:r w:rsidRPr="0043703E">
        <w:rPr>
          <w:sz w:val="20"/>
          <w:szCs w:val="20"/>
        </w:rPr>
        <w:t xml:space="preserve"> (Bombay 1914; reprinted Hofheim:  Bahá’í-Verlag, BE 159/2002); idem </w:t>
      </w:r>
      <w:r w:rsidRPr="0043703E">
        <w:rPr>
          <w:i/>
          <w:sz w:val="20"/>
          <w:szCs w:val="20"/>
        </w:rPr>
        <w:t>Stories from the Delight of Hearts</w:t>
      </w:r>
      <w:r w:rsidRPr="0043703E">
        <w:rPr>
          <w:sz w:val="20"/>
          <w:szCs w:val="20"/>
        </w:rPr>
        <w:t xml:space="preserve"> (Los Angeles:  Kalimát Press, 1980); Hasan M. Balyuzi, </w:t>
      </w:r>
      <w:r w:rsidRPr="0043703E">
        <w:rPr>
          <w:i/>
          <w:sz w:val="20"/>
          <w:szCs w:val="20"/>
        </w:rPr>
        <w:t>Eminent Bahá’ís in the Time of Bahá’u’lláh</w:t>
      </w:r>
      <w:r w:rsidRPr="0043703E">
        <w:rPr>
          <w:sz w:val="20"/>
          <w:szCs w:val="20"/>
        </w:rPr>
        <w:t xml:space="preserve"> (Oxford:  George Ronald, 1985) 237–50; Habib Mu’ayyad, </w:t>
      </w:r>
      <w:r w:rsidRPr="0043703E">
        <w:rPr>
          <w:i/>
          <w:sz w:val="20"/>
          <w:szCs w:val="20"/>
          <w:u w:val="single"/>
        </w:rPr>
        <w:t>Kh</w:t>
      </w:r>
      <w:r w:rsidRPr="0043703E">
        <w:rPr>
          <w:i/>
          <w:sz w:val="20"/>
          <w:szCs w:val="20"/>
        </w:rPr>
        <w:t>áṭirát-i</w:t>
      </w:r>
      <w:r w:rsidR="00771EE4" w:rsidRPr="0043703E">
        <w:rPr>
          <w:i/>
          <w:sz w:val="20"/>
          <w:szCs w:val="20"/>
        </w:rPr>
        <w:t>-</w:t>
      </w:r>
      <w:r w:rsidRPr="0043703E">
        <w:rPr>
          <w:i/>
          <w:sz w:val="20"/>
          <w:szCs w:val="20"/>
        </w:rPr>
        <w:t>Habíb</w:t>
      </w:r>
      <w:r w:rsidRPr="0043703E">
        <w:rPr>
          <w:sz w:val="20"/>
          <w:szCs w:val="20"/>
        </w:rPr>
        <w:t xml:space="preserve"> (Hofheim:  Bahá’í-Verlag, 2004) 2:15–17.</w:t>
      </w:r>
    </w:p>
  </w:footnote>
  <w:footnote w:id="35">
    <w:p w14:paraId="680C7383" w14:textId="77777777" w:rsidR="00475928" w:rsidRPr="0043703E" w:rsidRDefault="00475928">
      <w:pPr>
        <w:pStyle w:val="FootnoteText"/>
        <w:rPr>
          <w:sz w:val="20"/>
          <w:szCs w:val="20"/>
          <w:lang w:val="en-US"/>
        </w:rPr>
      </w:pPr>
      <w:r w:rsidRPr="0043703E">
        <w:rPr>
          <w:rStyle w:val="FootnoteReference"/>
          <w:sz w:val="20"/>
          <w:szCs w:val="20"/>
        </w:rPr>
        <w:footnoteRef/>
      </w:r>
      <w:r w:rsidRPr="0043703E">
        <w:rPr>
          <w:sz w:val="20"/>
          <w:szCs w:val="20"/>
        </w:rPr>
        <w:tab/>
        <w:t xml:space="preserve">See Shoghi Effendi, </w:t>
      </w:r>
      <w:r w:rsidRPr="0043703E">
        <w:rPr>
          <w:i/>
          <w:sz w:val="20"/>
          <w:szCs w:val="20"/>
        </w:rPr>
        <w:t>The Promised Day is Come</w:t>
      </w:r>
      <w:r w:rsidRPr="0043703E">
        <w:rPr>
          <w:sz w:val="20"/>
          <w:szCs w:val="20"/>
        </w:rPr>
        <w:t xml:space="preserve"> (Wilmette:  Bahá’í Publishing Trust, 1980, rev. ed.) 64 and </w:t>
      </w:r>
      <w:r w:rsidR="00123FDC" w:rsidRPr="0043703E">
        <w:rPr>
          <w:sz w:val="20"/>
          <w:szCs w:val="20"/>
        </w:rPr>
        <w:t>Shoghi Effendi</w:t>
      </w:r>
      <w:r w:rsidRPr="0043703E">
        <w:rPr>
          <w:sz w:val="20"/>
          <w:szCs w:val="20"/>
        </w:rPr>
        <w:t xml:space="preserve">, </w:t>
      </w:r>
      <w:r w:rsidRPr="0043703E">
        <w:rPr>
          <w:i/>
          <w:sz w:val="20"/>
          <w:szCs w:val="20"/>
        </w:rPr>
        <w:t>God Passes By</w:t>
      </w:r>
      <w:r w:rsidRPr="0043703E">
        <w:rPr>
          <w:sz w:val="20"/>
          <w:szCs w:val="20"/>
        </w:rPr>
        <w:t xml:space="preserve"> 225–26.</w:t>
      </w:r>
    </w:p>
  </w:footnote>
  <w:footnote w:id="36">
    <w:p w14:paraId="40B861C0" w14:textId="77777777" w:rsidR="0003280F" w:rsidRPr="0043703E" w:rsidRDefault="0003280F">
      <w:pPr>
        <w:pStyle w:val="FootnoteText"/>
        <w:rPr>
          <w:sz w:val="20"/>
          <w:szCs w:val="20"/>
          <w:lang w:val="en-US"/>
        </w:rPr>
      </w:pPr>
      <w:r w:rsidRPr="0043703E">
        <w:rPr>
          <w:rStyle w:val="FootnoteReference"/>
          <w:sz w:val="20"/>
          <w:szCs w:val="20"/>
        </w:rPr>
        <w:footnoteRef/>
      </w:r>
      <w:r w:rsidRPr="0043703E">
        <w:rPr>
          <w:sz w:val="20"/>
          <w:szCs w:val="20"/>
        </w:rPr>
        <w:tab/>
        <w:t xml:space="preserve">Arabic in </w:t>
      </w:r>
      <w:r w:rsidRPr="0043703E">
        <w:rPr>
          <w:i/>
          <w:sz w:val="20"/>
          <w:szCs w:val="20"/>
        </w:rPr>
        <w:t>A</w:t>
      </w:r>
      <w:r w:rsidRPr="0043703E">
        <w:rPr>
          <w:i/>
          <w:sz w:val="20"/>
          <w:szCs w:val="20"/>
          <w:u w:val="single"/>
        </w:rPr>
        <w:t>th</w:t>
      </w:r>
      <w:r w:rsidRPr="0043703E">
        <w:rPr>
          <w:i/>
          <w:sz w:val="20"/>
          <w:szCs w:val="20"/>
        </w:rPr>
        <w:t>ár-i</w:t>
      </w:r>
      <w:r w:rsidR="00771EE4" w:rsidRPr="0043703E">
        <w:rPr>
          <w:i/>
          <w:sz w:val="20"/>
          <w:szCs w:val="20"/>
        </w:rPr>
        <w:t>-</w:t>
      </w:r>
      <w:r w:rsidRPr="0043703E">
        <w:rPr>
          <w:i/>
          <w:sz w:val="20"/>
          <w:szCs w:val="20"/>
        </w:rPr>
        <w:t>Qalam-i-</w:t>
      </w:r>
      <w:proofErr w:type="gramStart"/>
      <w:r w:rsidRPr="0043703E">
        <w:rPr>
          <w:i/>
          <w:sz w:val="20"/>
          <w:szCs w:val="20"/>
        </w:rPr>
        <w:t>A‘</w:t>
      </w:r>
      <w:proofErr w:type="gramEnd"/>
      <w:r w:rsidRPr="0043703E">
        <w:rPr>
          <w:i/>
          <w:sz w:val="20"/>
          <w:szCs w:val="20"/>
        </w:rPr>
        <w:t>lá</w:t>
      </w:r>
      <w:r w:rsidRPr="0043703E">
        <w:rPr>
          <w:sz w:val="20"/>
          <w:szCs w:val="20"/>
        </w:rPr>
        <w:t xml:space="preserve">, vol. 1:  </w:t>
      </w:r>
      <w:r w:rsidRPr="0043703E">
        <w:rPr>
          <w:i/>
          <w:sz w:val="20"/>
          <w:szCs w:val="20"/>
        </w:rPr>
        <w:t>al-Kitáb al-Mubín</w:t>
      </w:r>
      <w:r w:rsidRPr="0043703E">
        <w:rPr>
          <w:sz w:val="20"/>
          <w:szCs w:val="20"/>
        </w:rPr>
        <w:t xml:space="preserve"> (Bombay, 1890, see www.h-net.org/~bahai/areprint/baha/A-F/F/fuada.htm, viewed 16 November 2004) 210–14; English tr., </w:t>
      </w:r>
      <w:r w:rsidRPr="0043703E">
        <w:rPr>
          <w:i/>
          <w:sz w:val="20"/>
          <w:szCs w:val="20"/>
        </w:rPr>
        <w:t>The Summons of the Lord of Hosts</w:t>
      </w:r>
      <w:r w:rsidRPr="0043703E">
        <w:rPr>
          <w:sz w:val="20"/>
          <w:szCs w:val="20"/>
        </w:rPr>
        <w:t xml:space="preserve"> (Haifa:  Bahá’í World Centre, 2002) 179; tr. Shoghi Effendi in </w:t>
      </w:r>
      <w:r w:rsidRPr="0043703E">
        <w:rPr>
          <w:i/>
          <w:sz w:val="20"/>
          <w:szCs w:val="20"/>
        </w:rPr>
        <w:t>The Promised Day is Come</w:t>
      </w:r>
      <w:r w:rsidRPr="0043703E">
        <w:rPr>
          <w:sz w:val="20"/>
          <w:szCs w:val="20"/>
        </w:rPr>
        <w:t xml:space="preserve"> 64 and idem </w:t>
      </w:r>
      <w:r w:rsidRPr="0043703E">
        <w:rPr>
          <w:i/>
          <w:sz w:val="20"/>
          <w:szCs w:val="20"/>
        </w:rPr>
        <w:t>God Passes By</w:t>
      </w:r>
      <w:r w:rsidRPr="0043703E">
        <w:rPr>
          <w:sz w:val="20"/>
          <w:szCs w:val="20"/>
        </w:rPr>
        <w:t xml:space="preserve"> 208–209.</w:t>
      </w:r>
    </w:p>
  </w:footnote>
  <w:footnote w:id="37">
    <w:p w14:paraId="7C8AD192" w14:textId="77777777" w:rsidR="00D65533" w:rsidRPr="0043703E" w:rsidRDefault="00D65533">
      <w:pPr>
        <w:pStyle w:val="FootnoteText"/>
        <w:rPr>
          <w:sz w:val="20"/>
          <w:szCs w:val="20"/>
          <w:lang w:val="en-US"/>
        </w:rPr>
      </w:pPr>
      <w:r w:rsidRPr="0043703E">
        <w:rPr>
          <w:rStyle w:val="FootnoteReference"/>
          <w:sz w:val="20"/>
          <w:szCs w:val="20"/>
        </w:rPr>
        <w:footnoteRef/>
      </w:r>
      <w:r w:rsidRPr="0043703E">
        <w:rPr>
          <w:sz w:val="20"/>
          <w:szCs w:val="20"/>
        </w:rPr>
        <w:tab/>
        <w:t xml:space="preserve">Shoghi Effendi, </w:t>
      </w:r>
      <w:r w:rsidRPr="0043703E">
        <w:rPr>
          <w:i/>
          <w:sz w:val="20"/>
          <w:szCs w:val="20"/>
        </w:rPr>
        <w:t>God Passes By</w:t>
      </w:r>
      <w:r w:rsidRPr="0043703E">
        <w:rPr>
          <w:sz w:val="20"/>
          <w:szCs w:val="20"/>
        </w:rPr>
        <w:t xml:space="preserve"> 192.</w:t>
      </w:r>
    </w:p>
  </w:footnote>
  <w:footnote w:id="38">
    <w:p w14:paraId="7496D189" w14:textId="77777777" w:rsidR="002B518A" w:rsidRPr="0043703E" w:rsidRDefault="002B518A">
      <w:pPr>
        <w:pStyle w:val="FootnoteText"/>
        <w:rPr>
          <w:sz w:val="20"/>
          <w:szCs w:val="20"/>
          <w:lang w:val="en-US"/>
        </w:rPr>
      </w:pPr>
      <w:r w:rsidRPr="0043703E">
        <w:rPr>
          <w:rStyle w:val="FootnoteReference"/>
          <w:sz w:val="20"/>
          <w:szCs w:val="20"/>
        </w:rPr>
        <w:footnoteRef/>
      </w:r>
      <w:r w:rsidRPr="0043703E">
        <w:rPr>
          <w:sz w:val="20"/>
          <w:szCs w:val="20"/>
        </w:rPr>
        <w:tab/>
      </w:r>
      <w:r w:rsidRPr="0043703E">
        <w:rPr>
          <w:i/>
          <w:sz w:val="20"/>
          <w:szCs w:val="20"/>
        </w:rPr>
        <w:t>Sarkár Áqá</w:t>
      </w:r>
      <w:r w:rsidRPr="0043703E">
        <w:rPr>
          <w:sz w:val="20"/>
          <w:szCs w:val="20"/>
        </w:rPr>
        <w:t xml:space="preserve">, ‘His Excellency the Master’, was a title given by Bahá’u’lláh to ‘Abdu’l-Bahá; see Lady Blomfield, </w:t>
      </w:r>
      <w:r w:rsidRPr="0043703E">
        <w:rPr>
          <w:i/>
          <w:sz w:val="20"/>
          <w:szCs w:val="20"/>
        </w:rPr>
        <w:t>The Chosen Highway</w:t>
      </w:r>
      <w:r w:rsidRPr="0043703E">
        <w:rPr>
          <w:sz w:val="20"/>
          <w:szCs w:val="20"/>
        </w:rPr>
        <w:t xml:space="preserve"> (Wilmette:  Bahá’í Publishing Trust, 1975) 62.  The meanings ‘steward, administrator, manager, superintendent, supervisor’, of </w:t>
      </w:r>
      <w:r w:rsidRPr="0043703E">
        <w:rPr>
          <w:i/>
          <w:sz w:val="20"/>
          <w:szCs w:val="20"/>
        </w:rPr>
        <w:t>sarkár</w:t>
      </w:r>
      <w:r w:rsidRPr="0043703E">
        <w:rPr>
          <w:sz w:val="20"/>
          <w:szCs w:val="20"/>
        </w:rPr>
        <w:t xml:space="preserve"> or </w:t>
      </w:r>
      <w:r w:rsidRPr="0043703E">
        <w:rPr>
          <w:i/>
          <w:sz w:val="20"/>
          <w:szCs w:val="20"/>
        </w:rPr>
        <w:t>sar-kár</w:t>
      </w:r>
      <w:r w:rsidRPr="0043703E">
        <w:rPr>
          <w:sz w:val="20"/>
          <w:szCs w:val="20"/>
        </w:rPr>
        <w:t xml:space="preserve"> well describe ‘Abdu’l-Bahá’s position in the external affairs of the Bahá’í community in the Ottoman Empire; s.v. </w:t>
      </w:r>
      <w:r w:rsidRPr="0043703E">
        <w:rPr>
          <w:i/>
          <w:sz w:val="20"/>
          <w:szCs w:val="20"/>
        </w:rPr>
        <w:t>sar-kár</w:t>
      </w:r>
      <w:r w:rsidRPr="0043703E">
        <w:rPr>
          <w:sz w:val="20"/>
          <w:szCs w:val="20"/>
        </w:rPr>
        <w:t xml:space="preserve"> in the </w:t>
      </w:r>
      <w:r w:rsidRPr="0043703E">
        <w:rPr>
          <w:i/>
          <w:sz w:val="20"/>
          <w:szCs w:val="20"/>
        </w:rPr>
        <w:t>Steingass Persian-English Dictionary</w:t>
      </w:r>
      <w:r w:rsidRPr="0043703E">
        <w:rPr>
          <w:sz w:val="20"/>
          <w:szCs w:val="20"/>
        </w:rPr>
        <w:t xml:space="preserve"> (online at http://dsal.uchicago.edu/dictionaries/steingass, viewed 16 November 2004) and serkar in the </w:t>
      </w:r>
      <w:r w:rsidRPr="0043703E">
        <w:rPr>
          <w:i/>
          <w:sz w:val="20"/>
          <w:szCs w:val="20"/>
        </w:rPr>
        <w:t>Redhouse Turkish-English Dictionary</w:t>
      </w:r>
      <w:r w:rsidRPr="0043703E">
        <w:rPr>
          <w:sz w:val="20"/>
          <w:szCs w:val="20"/>
        </w:rPr>
        <w:t xml:space="preserve"> (ed. U. Bahadir Alkim, Nazime Antel, Robert Avery et al., Istanbul).</w:t>
      </w:r>
    </w:p>
  </w:footnote>
  <w:footnote w:id="39">
    <w:p w14:paraId="58F16C94" w14:textId="77777777" w:rsidR="00BF51DC" w:rsidRPr="0043703E" w:rsidRDefault="00BF51DC">
      <w:pPr>
        <w:pStyle w:val="FootnoteText"/>
        <w:rPr>
          <w:sz w:val="20"/>
          <w:szCs w:val="20"/>
          <w:lang w:val="en-US"/>
        </w:rPr>
      </w:pPr>
      <w:r w:rsidRPr="0043703E">
        <w:rPr>
          <w:rStyle w:val="FootnoteReference"/>
          <w:sz w:val="20"/>
          <w:szCs w:val="20"/>
        </w:rPr>
        <w:footnoteRef/>
      </w:r>
      <w:r w:rsidRPr="0043703E">
        <w:rPr>
          <w:sz w:val="20"/>
          <w:szCs w:val="20"/>
        </w:rPr>
        <w:tab/>
      </w:r>
      <w:r w:rsidR="00C54BE6" w:rsidRPr="0043703E">
        <w:rPr>
          <w:i/>
          <w:sz w:val="20"/>
          <w:szCs w:val="20"/>
        </w:rPr>
        <w:t>Nasıruddin Şah ve Babiler</w:t>
      </w:r>
      <w:r w:rsidR="00C54BE6" w:rsidRPr="0043703E">
        <w:rPr>
          <w:sz w:val="20"/>
          <w:szCs w:val="20"/>
        </w:rPr>
        <w:t xml:space="preserve"> (Istanbul:  Kanaat Kütüphanesi, 1923) 53–4.</w:t>
      </w:r>
    </w:p>
  </w:footnote>
  <w:footnote w:id="40">
    <w:p w14:paraId="40DF54B0" w14:textId="77777777" w:rsidR="00C54BE6" w:rsidRPr="0043703E" w:rsidRDefault="00C54BE6">
      <w:pPr>
        <w:pStyle w:val="FootnoteText"/>
        <w:rPr>
          <w:sz w:val="20"/>
          <w:szCs w:val="20"/>
          <w:lang w:val="en-US"/>
        </w:rPr>
      </w:pPr>
      <w:r w:rsidRPr="0043703E">
        <w:rPr>
          <w:rStyle w:val="FootnoteReference"/>
          <w:sz w:val="20"/>
          <w:szCs w:val="20"/>
        </w:rPr>
        <w:footnoteRef/>
      </w:r>
      <w:r w:rsidRPr="0043703E">
        <w:rPr>
          <w:sz w:val="20"/>
          <w:szCs w:val="20"/>
        </w:rPr>
        <w:tab/>
      </w:r>
      <w:r w:rsidR="009A1B85" w:rsidRPr="0043703E">
        <w:rPr>
          <w:sz w:val="20"/>
          <w:szCs w:val="20"/>
        </w:rPr>
        <w:t>idem</w:t>
      </w:r>
      <w:r w:rsidRPr="0043703E">
        <w:rPr>
          <w:sz w:val="20"/>
          <w:szCs w:val="20"/>
        </w:rPr>
        <w:t xml:space="preserve"> 52.</w:t>
      </w:r>
    </w:p>
  </w:footnote>
  <w:footnote w:id="41">
    <w:p w14:paraId="52C0C57E" w14:textId="77777777" w:rsidR="009A1B85" w:rsidRPr="0043703E" w:rsidRDefault="009A1B85">
      <w:pPr>
        <w:pStyle w:val="FootnoteText"/>
        <w:rPr>
          <w:sz w:val="20"/>
          <w:szCs w:val="20"/>
          <w:lang w:val="en-US"/>
        </w:rPr>
      </w:pPr>
      <w:r w:rsidRPr="0043703E">
        <w:rPr>
          <w:rStyle w:val="FootnoteReference"/>
          <w:sz w:val="20"/>
          <w:szCs w:val="20"/>
        </w:rPr>
        <w:footnoteRef/>
      </w:r>
      <w:r w:rsidRPr="0043703E">
        <w:rPr>
          <w:sz w:val="20"/>
          <w:szCs w:val="20"/>
        </w:rPr>
        <w:tab/>
        <w:t xml:space="preserve">On the contacts between reformers in the Ottoman Empire and the Bahá’ís, see Necati Alkan, ‘Ottoman Reform Movements and the Bahá’í Faith, 1860s-1920s’, in Moshe Sharon (ed.), </w:t>
      </w:r>
      <w:r w:rsidRPr="0043703E">
        <w:rPr>
          <w:i/>
          <w:sz w:val="20"/>
          <w:szCs w:val="20"/>
        </w:rPr>
        <w:t>Studies in Modern Religions, Religious</w:t>
      </w:r>
      <w:r w:rsidR="00C66662" w:rsidRPr="0043703E">
        <w:rPr>
          <w:i/>
          <w:sz w:val="20"/>
          <w:szCs w:val="20"/>
        </w:rPr>
        <w:t xml:space="preserve"> Movements and the Babi-Baha’i Faiths</w:t>
      </w:r>
      <w:r w:rsidR="00C66662" w:rsidRPr="0043703E">
        <w:rPr>
          <w:sz w:val="20"/>
          <w:szCs w:val="20"/>
        </w:rPr>
        <w:t xml:space="preserve"> (Leiden:  Brill, 2004) 253–74; idem ‘The Babis and Bahá’ís in the Ottoman Empire and Turkey, 1844–1928’, Ph.D. thesis, Ruhr-Universität Bochum/Germany, 2004.</w:t>
      </w:r>
    </w:p>
  </w:footnote>
  <w:footnote w:id="42">
    <w:p w14:paraId="48655FA5" w14:textId="77777777" w:rsidR="00352817" w:rsidRPr="0043703E" w:rsidRDefault="00352817">
      <w:pPr>
        <w:pStyle w:val="FootnoteText"/>
        <w:rPr>
          <w:sz w:val="20"/>
          <w:szCs w:val="20"/>
          <w:lang w:val="en-US"/>
        </w:rPr>
      </w:pPr>
      <w:r w:rsidRPr="0043703E">
        <w:rPr>
          <w:rStyle w:val="FootnoteReference"/>
          <w:sz w:val="20"/>
          <w:szCs w:val="20"/>
        </w:rPr>
        <w:footnoteRef/>
      </w:r>
      <w:r w:rsidRPr="0043703E">
        <w:rPr>
          <w:sz w:val="20"/>
          <w:szCs w:val="20"/>
        </w:rPr>
        <w:tab/>
        <w:t>Page 198.</w:t>
      </w:r>
    </w:p>
  </w:footnote>
  <w:footnote w:id="43">
    <w:p w14:paraId="741313DB" w14:textId="77777777" w:rsidR="008F71C7" w:rsidRPr="0043703E" w:rsidRDefault="008F71C7">
      <w:pPr>
        <w:pStyle w:val="FootnoteText"/>
        <w:rPr>
          <w:sz w:val="20"/>
          <w:szCs w:val="20"/>
          <w:lang w:val="en-US"/>
        </w:rPr>
      </w:pPr>
      <w:r w:rsidRPr="0043703E">
        <w:rPr>
          <w:rStyle w:val="FootnoteReference"/>
          <w:sz w:val="20"/>
          <w:szCs w:val="20"/>
        </w:rPr>
        <w:footnoteRef/>
      </w:r>
      <w:r w:rsidRPr="0043703E">
        <w:rPr>
          <w:sz w:val="20"/>
          <w:szCs w:val="20"/>
        </w:rPr>
        <w:tab/>
        <w:t xml:space="preserve">Turkistan probably meant just the Ottoman domains but could mean that by that time (1880), ‘Abdu’l-Bahá’s fame and his Turkish writings had even spread beyond the Middle East as far as Turkistan in the sense of the Turkic-speaking regions east of Iran; in other words, Transoxania (also spelled Transoxiana); in Arabic </w:t>
      </w:r>
      <w:r w:rsidRPr="0043703E">
        <w:rPr>
          <w:i/>
          <w:sz w:val="20"/>
          <w:szCs w:val="20"/>
        </w:rPr>
        <w:t>Má Wará’ An-nahr</w:t>
      </w:r>
      <w:r w:rsidRPr="0043703E">
        <w:rPr>
          <w:sz w:val="20"/>
          <w:szCs w:val="20"/>
        </w:rPr>
        <w:t xml:space="preserve"> (‘That Which Lies Beyond the River’), the historical region of Turkistan in Central Asia east of the Amu Darya (Oxus River) and west of the Syr Darya (Jaxartes River), roughly corresponding to present-day Uzbekistan and parts of Turkmenistan and Kazakhstan.  Whereas Turkish is the official language of Turkey, the term ‘Turkic’ includes various dialects of the Altaic language family stretching from the Balkans to Siberia.  ‘Abdu’l-Bahá mastered at least Ottoman Turkish and the Turkic dialects of Caucasia; for this, see tablets and prayers of ‘Abdu’l-Bahá in </w:t>
      </w:r>
      <w:proofErr w:type="gramStart"/>
      <w:r w:rsidRPr="0043703E">
        <w:rPr>
          <w:i/>
          <w:sz w:val="20"/>
          <w:szCs w:val="20"/>
        </w:rPr>
        <w:t>Majmú‘</w:t>
      </w:r>
      <w:proofErr w:type="gramEnd"/>
      <w:r w:rsidRPr="0043703E">
        <w:rPr>
          <w:i/>
          <w:sz w:val="20"/>
          <w:szCs w:val="20"/>
        </w:rPr>
        <w:t>ih-yi-Alwáḥ wa Munájá</w:t>
      </w:r>
      <w:r w:rsidRPr="0043703E">
        <w:rPr>
          <w:i/>
          <w:sz w:val="20"/>
          <w:szCs w:val="20"/>
          <w:u w:val="single"/>
        </w:rPr>
        <w:t>th</w:t>
      </w:r>
      <w:r w:rsidRPr="0043703E">
        <w:rPr>
          <w:i/>
          <w:sz w:val="20"/>
          <w:szCs w:val="20"/>
        </w:rPr>
        <w:t>á-yi-Turkí</w:t>
      </w:r>
      <w:r w:rsidRPr="0043703E">
        <w:rPr>
          <w:sz w:val="20"/>
          <w:szCs w:val="20"/>
        </w:rPr>
        <w:t xml:space="preserve"> (Tehran:  Mu’assasa-yi-Millí-yi-Matbú‘át-i-Amrá, BE 127/1970–71).</w:t>
      </w:r>
    </w:p>
  </w:footnote>
  <w:footnote w:id="44">
    <w:p w14:paraId="1AEDAD60" w14:textId="77777777" w:rsidR="000C62FC" w:rsidRPr="0043703E" w:rsidRDefault="000C62FC">
      <w:pPr>
        <w:pStyle w:val="FootnoteText"/>
        <w:rPr>
          <w:sz w:val="20"/>
          <w:szCs w:val="20"/>
          <w:lang w:val="en-US"/>
        </w:rPr>
      </w:pPr>
      <w:r w:rsidRPr="0043703E">
        <w:rPr>
          <w:rStyle w:val="FootnoteReference"/>
          <w:sz w:val="20"/>
          <w:szCs w:val="20"/>
        </w:rPr>
        <w:footnoteRef/>
      </w:r>
      <w:r w:rsidRPr="0043703E">
        <w:rPr>
          <w:sz w:val="20"/>
          <w:szCs w:val="20"/>
        </w:rPr>
        <w:tab/>
        <w:t xml:space="preserve">Mehmet Refik (Temimi)/ Mehmet Behcet (Yazar), ‘Babiler ve Babizm Hakkında Tedkikât-ı Mahalliyye’ in </w:t>
      </w:r>
      <w:r w:rsidRPr="0043703E">
        <w:rPr>
          <w:i/>
          <w:sz w:val="20"/>
          <w:szCs w:val="20"/>
        </w:rPr>
        <w:t>Beyrut Vilayeti</w:t>
      </w:r>
      <w:r w:rsidRPr="0043703E">
        <w:rPr>
          <w:sz w:val="20"/>
          <w:szCs w:val="20"/>
        </w:rPr>
        <w:t xml:space="preserve"> (vol. 1:  Cenub Kısmı, Vilayet Matbaası:  1333/1917) 269–80 (here 273).</w:t>
      </w:r>
    </w:p>
  </w:footnote>
  <w:footnote w:id="45">
    <w:p w14:paraId="2B20F63F" w14:textId="77777777" w:rsidR="000C7B1D" w:rsidRPr="0043703E" w:rsidRDefault="000C7B1D">
      <w:pPr>
        <w:pStyle w:val="FootnoteText"/>
        <w:rPr>
          <w:sz w:val="20"/>
          <w:szCs w:val="20"/>
          <w:lang w:val="en-US"/>
        </w:rPr>
      </w:pPr>
      <w:r w:rsidRPr="0043703E">
        <w:rPr>
          <w:rStyle w:val="FootnoteReference"/>
          <w:sz w:val="20"/>
          <w:szCs w:val="20"/>
        </w:rPr>
        <w:footnoteRef/>
      </w:r>
      <w:r w:rsidRPr="0043703E">
        <w:rPr>
          <w:sz w:val="20"/>
          <w:szCs w:val="20"/>
        </w:rPr>
        <w:tab/>
        <w:t xml:space="preserve">Abdülganî Senî, ‘Garb’a Meydan Okuyan Bir Hakîm-i-Şark’ in </w:t>
      </w:r>
      <w:r w:rsidRPr="0043703E">
        <w:rPr>
          <w:i/>
          <w:sz w:val="20"/>
          <w:szCs w:val="20"/>
        </w:rPr>
        <w:t>Servet-i-Fünûn</w:t>
      </w:r>
      <w:r w:rsidRPr="0043703E">
        <w:rPr>
          <w:sz w:val="20"/>
          <w:szCs w:val="20"/>
        </w:rPr>
        <w:t>, no. 1216, 11 Eylül 1330/4 Zîlkâde 1332, s. 308–13 (here 310).</w:t>
      </w:r>
    </w:p>
  </w:footnote>
  <w:footnote w:id="46">
    <w:p w14:paraId="2A939579" w14:textId="77777777" w:rsidR="00500F95" w:rsidRPr="0043703E" w:rsidRDefault="00500F95">
      <w:pPr>
        <w:pStyle w:val="FootnoteText"/>
        <w:rPr>
          <w:sz w:val="20"/>
          <w:szCs w:val="20"/>
          <w:lang w:val="en-US"/>
        </w:rPr>
      </w:pPr>
      <w:r w:rsidRPr="0043703E">
        <w:rPr>
          <w:rStyle w:val="FootnoteReference"/>
          <w:sz w:val="20"/>
          <w:szCs w:val="20"/>
        </w:rPr>
        <w:footnoteRef/>
      </w:r>
      <w:r w:rsidRPr="0043703E">
        <w:rPr>
          <w:sz w:val="20"/>
          <w:szCs w:val="20"/>
        </w:rPr>
        <w:tab/>
      </w:r>
      <w:r w:rsidRPr="0043703E">
        <w:rPr>
          <w:i/>
          <w:sz w:val="20"/>
          <w:szCs w:val="20"/>
        </w:rPr>
        <w:t>God Passes By</w:t>
      </w:r>
      <w:r w:rsidRPr="0043703E">
        <w:rPr>
          <w:sz w:val="20"/>
          <w:szCs w:val="20"/>
        </w:rPr>
        <w:t xml:space="preserve"> 241.</w:t>
      </w:r>
    </w:p>
  </w:footnote>
  <w:footnote w:id="47">
    <w:p w14:paraId="7AD9FA7A" w14:textId="77777777" w:rsidR="00C43B80" w:rsidRPr="0043703E" w:rsidRDefault="00C43B80">
      <w:pPr>
        <w:pStyle w:val="FootnoteText"/>
        <w:rPr>
          <w:sz w:val="20"/>
          <w:szCs w:val="20"/>
          <w:lang w:val="en-US"/>
        </w:rPr>
      </w:pPr>
      <w:r w:rsidRPr="0043703E">
        <w:rPr>
          <w:rStyle w:val="FootnoteReference"/>
          <w:sz w:val="20"/>
          <w:szCs w:val="20"/>
        </w:rPr>
        <w:footnoteRef/>
      </w:r>
      <w:r w:rsidRPr="0043703E">
        <w:rPr>
          <w:sz w:val="20"/>
          <w:szCs w:val="20"/>
        </w:rPr>
        <w:tab/>
        <w:t xml:space="preserve">The kind assistance of Siyamak Zabihi-Moghaddam with the Persian manuscript is greatly appreciated.  The passages from the </w:t>
      </w:r>
      <w:r w:rsidRPr="0043703E">
        <w:rPr>
          <w:i/>
          <w:sz w:val="20"/>
          <w:szCs w:val="20"/>
        </w:rPr>
        <w:t>Lawḥ-i-Ra’ís</w:t>
      </w:r>
      <w:r w:rsidRPr="0043703E">
        <w:rPr>
          <w:sz w:val="20"/>
          <w:szCs w:val="20"/>
        </w:rPr>
        <w:t xml:space="preserve"> and the </w:t>
      </w:r>
      <w:r w:rsidRPr="0043703E">
        <w:rPr>
          <w:i/>
          <w:sz w:val="20"/>
          <w:szCs w:val="20"/>
        </w:rPr>
        <w:t>Lawḥ-i-Arḍ-i-Bá</w:t>
      </w:r>
      <w:r w:rsidRPr="0043703E">
        <w:rPr>
          <w:sz w:val="20"/>
          <w:szCs w:val="20"/>
        </w:rPr>
        <w:t xml:space="preserve"> that Mírzá Ḥaydar ‘Alí quotes both have minor alterations; this is pointed out in footnotes.  Wherever reference is made to Bahá’u’lláh and ‘Abdu’l-Bahá by the Bahá’í author, words such as ‘He’, ‘His’ and ‘Him’ are rendered with capital initial letters, this being from the point of view of a devoted believer.  And whenever it was deemed necessary names, comments and original Persian words are inserted into the translation.</w:t>
      </w:r>
    </w:p>
  </w:footnote>
  <w:footnote w:id="48">
    <w:p w14:paraId="176B0B04" w14:textId="77777777" w:rsidR="00033DC6" w:rsidRPr="0043703E" w:rsidRDefault="00033DC6">
      <w:pPr>
        <w:pStyle w:val="FootnoteText"/>
        <w:rPr>
          <w:sz w:val="20"/>
          <w:szCs w:val="20"/>
          <w:lang w:val="en-US"/>
        </w:rPr>
      </w:pPr>
      <w:r w:rsidRPr="0043703E">
        <w:rPr>
          <w:rStyle w:val="FootnoteReference"/>
          <w:sz w:val="20"/>
          <w:szCs w:val="20"/>
        </w:rPr>
        <w:footnoteRef/>
      </w:r>
      <w:r w:rsidRPr="0043703E">
        <w:rPr>
          <w:sz w:val="20"/>
          <w:szCs w:val="20"/>
        </w:rPr>
        <w:tab/>
        <w:t xml:space="preserve">In Mírzá Ḥaydar ‘Alí’s manuscript (MHA ms.):  </w:t>
      </w:r>
      <w:r w:rsidRPr="0043703E">
        <w:rPr>
          <w:rFonts w:hint="cs"/>
          <w:sz w:val="22"/>
          <w:szCs w:val="22"/>
          <w:rtl/>
        </w:rPr>
        <w:t>لا يقوم مع امره جنود من في السموات و الارض</w:t>
      </w:r>
    </w:p>
  </w:footnote>
  <w:footnote w:id="49">
    <w:p w14:paraId="00925320" w14:textId="77777777" w:rsidR="00B11D1B" w:rsidRPr="0043703E" w:rsidRDefault="00B11D1B">
      <w:pPr>
        <w:pStyle w:val="FootnoteText"/>
        <w:rPr>
          <w:sz w:val="20"/>
          <w:szCs w:val="20"/>
          <w:lang w:val="en-US"/>
        </w:rPr>
      </w:pPr>
      <w:r w:rsidRPr="0043703E">
        <w:rPr>
          <w:rStyle w:val="FootnoteReference"/>
          <w:sz w:val="20"/>
          <w:szCs w:val="20"/>
        </w:rPr>
        <w:footnoteRef/>
      </w:r>
      <w:r w:rsidRPr="0043703E">
        <w:rPr>
          <w:sz w:val="20"/>
          <w:szCs w:val="20"/>
        </w:rPr>
        <w:tab/>
        <w:t>In MHA ms. ‘</w:t>
      </w:r>
      <w:proofErr w:type="gramStart"/>
      <w:r w:rsidRPr="0043703E">
        <w:rPr>
          <w:sz w:val="20"/>
          <w:szCs w:val="20"/>
        </w:rPr>
        <w:t>what</w:t>
      </w:r>
      <w:proofErr w:type="gramEnd"/>
      <w:r w:rsidRPr="0043703E">
        <w:rPr>
          <w:sz w:val="20"/>
          <w:szCs w:val="20"/>
        </w:rPr>
        <w:t xml:space="preserve"> is beside it’ </w:t>
      </w:r>
      <w:r w:rsidRPr="0043703E">
        <w:rPr>
          <w:rFonts w:hint="cs"/>
          <w:sz w:val="22"/>
          <w:szCs w:val="22"/>
          <w:rtl/>
        </w:rPr>
        <w:t>ما دونها</w:t>
      </w:r>
      <w:r w:rsidRPr="0043703E">
        <w:rPr>
          <w:sz w:val="20"/>
          <w:szCs w:val="20"/>
        </w:rPr>
        <w:t xml:space="preserve"> is missing.</w:t>
      </w:r>
    </w:p>
  </w:footnote>
  <w:footnote w:id="50">
    <w:p w14:paraId="088BAEB9" w14:textId="77777777" w:rsidR="00DC6255" w:rsidRPr="0043703E" w:rsidRDefault="00DC6255">
      <w:pPr>
        <w:pStyle w:val="FootnoteText"/>
        <w:rPr>
          <w:sz w:val="20"/>
          <w:szCs w:val="20"/>
          <w:lang w:val="en-US"/>
        </w:rPr>
      </w:pPr>
      <w:r w:rsidRPr="0043703E">
        <w:rPr>
          <w:rStyle w:val="FootnoteReference"/>
          <w:sz w:val="20"/>
          <w:szCs w:val="20"/>
        </w:rPr>
        <w:footnoteRef/>
      </w:r>
      <w:r w:rsidRPr="0043703E">
        <w:rPr>
          <w:sz w:val="20"/>
          <w:szCs w:val="20"/>
        </w:rPr>
        <w:tab/>
        <w:t xml:space="preserve">In MHA ms.:  </w:t>
      </w:r>
      <w:r w:rsidRPr="0043703E">
        <w:rPr>
          <w:rFonts w:hint="cs"/>
          <w:sz w:val="22"/>
          <w:szCs w:val="22"/>
          <w:rtl/>
        </w:rPr>
        <w:t>و تخرج من</w:t>
      </w:r>
    </w:p>
  </w:footnote>
  <w:footnote w:id="51">
    <w:p w14:paraId="71BA963E" w14:textId="77777777" w:rsidR="00714C27" w:rsidRPr="0043703E" w:rsidRDefault="00714C27">
      <w:pPr>
        <w:pStyle w:val="FootnoteText"/>
        <w:rPr>
          <w:sz w:val="20"/>
          <w:szCs w:val="20"/>
          <w:lang w:val="en-US"/>
        </w:rPr>
      </w:pPr>
      <w:r w:rsidRPr="0043703E">
        <w:rPr>
          <w:rStyle w:val="FootnoteReference"/>
          <w:sz w:val="20"/>
          <w:szCs w:val="20"/>
        </w:rPr>
        <w:footnoteRef/>
      </w:r>
      <w:r w:rsidRPr="0043703E">
        <w:rPr>
          <w:sz w:val="20"/>
          <w:szCs w:val="20"/>
        </w:rPr>
        <w:tab/>
      </w:r>
      <w:r w:rsidRPr="0043703E">
        <w:rPr>
          <w:i/>
          <w:sz w:val="20"/>
          <w:szCs w:val="20"/>
        </w:rPr>
        <w:t>Majmú’ih-yi-Alwáh ba’d az Kitáb-i-Aqdas</w:t>
      </w:r>
      <w:r w:rsidRPr="0043703E">
        <w:rPr>
          <w:sz w:val="20"/>
          <w:szCs w:val="20"/>
        </w:rPr>
        <w:t xml:space="preserve"> 65–66; English translation in </w:t>
      </w:r>
      <w:r w:rsidRPr="0043703E">
        <w:rPr>
          <w:i/>
          <w:sz w:val="20"/>
          <w:szCs w:val="20"/>
        </w:rPr>
        <w:t>Summons</w:t>
      </w:r>
      <w:r w:rsidRPr="0043703E">
        <w:rPr>
          <w:sz w:val="20"/>
          <w:szCs w:val="20"/>
        </w:rPr>
        <w:t xml:space="preserve"> 142–43.</w:t>
      </w:r>
    </w:p>
  </w:footnote>
  <w:footnote w:id="52">
    <w:p w14:paraId="1E22C638" w14:textId="77777777" w:rsidR="00946CBB" w:rsidRPr="0043703E" w:rsidRDefault="00946CBB">
      <w:pPr>
        <w:pStyle w:val="FootnoteText"/>
        <w:rPr>
          <w:sz w:val="22"/>
          <w:szCs w:val="22"/>
          <w:lang w:val="en-US"/>
        </w:rPr>
      </w:pPr>
      <w:r w:rsidRPr="0043703E">
        <w:rPr>
          <w:rStyle w:val="FootnoteReference"/>
          <w:sz w:val="20"/>
          <w:szCs w:val="20"/>
        </w:rPr>
        <w:footnoteRef/>
      </w:r>
      <w:r w:rsidRPr="0043703E">
        <w:rPr>
          <w:sz w:val="22"/>
          <w:szCs w:val="22"/>
        </w:rPr>
        <w:tab/>
      </w:r>
      <w:r w:rsidR="0011174C" w:rsidRPr="0043703E">
        <w:rPr>
          <w:rFonts w:hint="eastAsia"/>
          <w:sz w:val="22"/>
          <w:szCs w:val="22"/>
          <w:rtl/>
        </w:rPr>
        <w:t>قصد</w:t>
      </w:r>
      <w:r w:rsidR="0011174C" w:rsidRPr="0043703E">
        <w:rPr>
          <w:sz w:val="22"/>
          <w:szCs w:val="22"/>
          <w:rtl/>
        </w:rPr>
        <w:t xml:space="preserve"> </w:t>
      </w:r>
      <w:r w:rsidR="0011174C" w:rsidRPr="0043703E">
        <w:rPr>
          <w:rFonts w:hint="eastAsia"/>
          <w:sz w:val="22"/>
          <w:szCs w:val="22"/>
          <w:rtl/>
        </w:rPr>
        <w:t>ديدار</w:t>
      </w:r>
      <w:r w:rsidR="0011174C" w:rsidRPr="0043703E">
        <w:rPr>
          <w:sz w:val="22"/>
          <w:szCs w:val="22"/>
          <w:rtl/>
        </w:rPr>
        <w:t xml:space="preserve"> </w:t>
      </w:r>
      <w:r w:rsidR="0011174C" w:rsidRPr="0043703E">
        <w:rPr>
          <w:rFonts w:hint="eastAsia"/>
          <w:sz w:val="22"/>
          <w:szCs w:val="22"/>
          <w:rtl/>
        </w:rPr>
        <w:t>تو</w:t>
      </w:r>
      <w:r w:rsidR="0011174C" w:rsidRPr="0043703E">
        <w:rPr>
          <w:sz w:val="22"/>
          <w:szCs w:val="22"/>
          <w:rtl/>
        </w:rPr>
        <w:t xml:space="preserve"> </w:t>
      </w:r>
      <w:r w:rsidR="0011174C" w:rsidRPr="0043703E">
        <w:rPr>
          <w:rFonts w:hint="eastAsia"/>
          <w:sz w:val="22"/>
          <w:szCs w:val="22"/>
          <w:rtl/>
        </w:rPr>
        <w:t>دارد</w:t>
      </w:r>
      <w:r w:rsidR="0011174C" w:rsidRPr="0043703E">
        <w:rPr>
          <w:sz w:val="22"/>
          <w:szCs w:val="22"/>
          <w:rtl/>
        </w:rPr>
        <w:t xml:space="preserve"> </w:t>
      </w:r>
      <w:r w:rsidR="0011174C" w:rsidRPr="0043703E">
        <w:rPr>
          <w:rFonts w:hint="eastAsia"/>
          <w:sz w:val="22"/>
          <w:szCs w:val="22"/>
          <w:rtl/>
        </w:rPr>
        <w:t>جان</w:t>
      </w:r>
      <w:r w:rsidR="0011174C" w:rsidRPr="0043703E">
        <w:rPr>
          <w:sz w:val="22"/>
          <w:szCs w:val="22"/>
          <w:rtl/>
        </w:rPr>
        <w:t xml:space="preserve"> </w:t>
      </w:r>
      <w:r w:rsidR="0011174C" w:rsidRPr="0043703E">
        <w:rPr>
          <w:rFonts w:hint="eastAsia"/>
          <w:sz w:val="22"/>
          <w:szCs w:val="22"/>
          <w:rtl/>
        </w:rPr>
        <w:t>بر</w:t>
      </w:r>
      <w:r w:rsidR="0011174C" w:rsidRPr="0043703E">
        <w:rPr>
          <w:sz w:val="22"/>
          <w:szCs w:val="22"/>
          <w:rtl/>
        </w:rPr>
        <w:t xml:space="preserve"> </w:t>
      </w:r>
      <w:r w:rsidR="0011174C" w:rsidRPr="0043703E">
        <w:rPr>
          <w:rFonts w:hint="eastAsia"/>
          <w:sz w:val="22"/>
          <w:szCs w:val="22"/>
          <w:rtl/>
        </w:rPr>
        <w:t>لب</w:t>
      </w:r>
      <w:r w:rsidR="0011174C" w:rsidRPr="0043703E">
        <w:rPr>
          <w:sz w:val="22"/>
          <w:szCs w:val="22"/>
          <w:rtl/>
        </w:rPr>
        <w:t xml:space="preserve"> </w:t>
      </w:r>
      <w:r w:rsidR="0011174C" w:rsidRPr="0043703E">
        <w:rPr>
          <w:rFonts w:hint="eastAsia"/>
          <w:sz w:val="22"/>
          <w:szCs w:val="22"/>
          <w:rtl/>
        </w:rPr>
        <w:t>آمد</w:t>
      </w:r>
    </w:p>
    <w:p w14:paraId="371B0D9D" w14:textId="77777777" w:rsidR="0011174C" w:rsidRPr="0043703E" w:rsidRDefault="0011174C">
      <w:pPr>
        <w:pStyle w:val="FootnoteText"/>
        <w:rPr>
          <w:sz w:val="22"/>
          <w:szCs w:val="22"/>
          <w:lang w:val="en-US"/>
        </w:rPr>
      </w:pPr>
      <w:r w:rsidRPr="0043703E">
        <w:rPr>
          <w:sz w:val="22"/>
          <w:szCs w:val="22"/>
          <w:lang w:val="en-US"/>
        </w:rPr>
        <w:tab/>
      </w:r>
      <w:r w:rsidRPr="0043703E">
        <w:rPr>
          <w:rFonts w:hint="eastAsia"/>
          <w:sz w:val="22"/>
          <w:szCs w:val="22"/>
          <w:rtl/>
        </w:rPr>
        <w:t>باز</w:t>
      </w:r>
      <w:r w:rsidRPr="0043703E">
        <w:rPr>
          <w:sz w:val="22"/>
          <w:szCs w:val="22"/>
          <w:rtl/>
        </w:rPr>
        <w:t xml:space="preserve"> </w:t>
      </w:r>
      <w:r w:rsidRPr="0043703E">
        <w:rPr>
          <w:rFonts w:hint="eastAsia"/>
          <w:sz w:val="22"/>
          <w:szCs w:val="22"/>
          <w:rtl/>
        </w:rPr>
        <w:t>گردد</w:t>
      </w:r>
      <w:r w:rsidRPr="0043703E">
        <w:rPr>
          <w:sz w:val="22"/>
          <w:szCs w:val="22"/>
          <w:rtl/>
        </w:rPr>
        <w:t xml:space="preserve"> </w:t>
      </w:r>
      <w:r w:rsidRPr="0043703E">
        <w:rPr>
          <w:rFonts w:hint="eastAsia"/>
          <w:sz w:val="22"/>
          <w:szCs w:val="22"/>
          <w:rtl/>
        </w:rPr>
        <w:t>يا</w:t>
      </w:r>
      <w:r w:rsidRPr="0043703E">
        <w:rPr>
          <w:sz w:val="22"/>
          <w:szCs w:val="22"/>
          <w:rtl/>
        </w:rPr>
        <w:t xml:space="preserve"> </w:t>
      </w:r>
      <w:r w:rsidRPr="0043703E">
        <w:rPr>
          <w:rFonts w:hint="eastAsia"/>
          <w:sz w:val="22"/>
          <w:szCs w:val="22"/>
          <w:rtl/>
        </w:rPr>
        <w:t>برايد</w:t>
      </w:r>
      <w:r w:rsidRPr="0043703E">
        <w:rPr>
          <w:sz w:val="22"/>
          <w:szCs w:val="22"/>
          <w:rtl/>
        </w:rPr>
        <w:t xml:space="preserve"> </w:t>
      </w:r>
      <w:r w:rsidRPr="0043703E">
        <w:rPr>
          <w:rFonts w:hint="eastAsia"/>
          <w:sz w:val="22"/>
          <w:szCs w:val="22"/>
          <w:rtl/>
        </w:rPr>
        <w:t>چيست</w:t>
      </w:r>
      <w:r w:rsidRPr="0043703E">
        <w:rPr>
          <w:sz w:val="22"/>
          <w:szCs w:val="22"/>
          <w:rtl/>
        </w:rPr>
        <w:t xml:space="preserve"> </w:t>
      </w:r>
      <w:r w:rsidRPr="0043703E">
        <w:rPr>
          <w:rFonts w:hint="eastAsia"/>
          <w:sz w:val="22"/>
          <w:szCs w:val="22"/>
          <w:rtl/>
        </w:rPr>
        <w:t>فرمان</w:t>
      </w:r>
      <w:r w:rsidRPr="0043703E">
        <w:rPr>
          <w:sz w:val="22"/>
          <w:szCs w:val="22"/>
          <w:rtl/>
        </w:rPr>
        <w:t xml:space="preserve"> </w:t>
      </w:r>
      <w:r w:rsidRPr="0043703E">
        <w:rPr>
          <w:rFonts w:hint="eastAsia"/>
          <w:sz w:val="22"/>
          <w:szCs w:val="22"/>
          <w:rtl/>
        </w:rPr>
        <w:t>شما</w:t>
      </w:r>
    </w:p>
  </w:footnote>
  <w:footnote w:id="53">
    <w:p w14:paraId="23E60D83" w14:textId="77777777" w:rsidR="0011174C" w:rsidRPr="0043703E" w:rsidRDefault="0011174C">
      <w:pPr>
        <w:pStyle w:val="FootnoteText"/>
        <w:rPr>
          <w:sz w:val="20"/>
          <w:szCs w:val="20"/>
          <w:lang w:val="en-US"/>
        </w:rPr>
      </w:pPr>
      <w:r w:rsidRPr="0043703E">
        <w:rPr>
          <w:rStyle w:val="FootnoteReference"/>
          <w:sz w:val="20"/>
          <w:szCs w:val="20"/>
        </w:rPr>
        <w:footnoteRef/>
      </w:r>
      <w:r w:rsidRPr="0043703E">
        <w:rPr>
          <w:sz w:val="20"/>
          <w:szCs w:val="20"/>
        </w:rPr>
        <w:tab/>
      </w:r>
      <w:r w:rsidRPr="0043703E">
        <w:rPr>
          <w:rFonts w:hint="eastAsia"/>
          <w:sz w:val="22"/>
          <w:szCs w:val="22"/>
          <w:rtl/>
        </w:rPr>
        <w:t>هو</w:t>
      </w:r>
      <w:r w:rsidRPr="0043703E">
        <w:rPr>
          <w:sz w:val="22"/>
          <w:szCs w:val="22"/>
          <w:rtl/>
        </w:rPr>
        <w:t xml:space="preserve"> </w:t>
      </w:r>
      <w:r w:rsidRPr="0043703E">
        <w:rPr>
          <w:rFonts w:hint="eastAsia"/>
          <w:sz w:val="22"/>
          <w:szCs w:val="22"/>
          <w:rtl/>
        </w:rPr>
        <w:t>الله</w:t>
      </w:r>
      <w:r w:rsidRPr="0043703E">
        <w:rPr>
          <w:sz w:val="22"/>
          <w:szCs w:val="22"/>
          <w:rtl/>
        </w:rPr>
        <w:t xml:space="preserve"> </w:t>
      </w:r>
      <w:r w:rsidRPr="0043703E">
        <w:rPr>
          <w:rFonts w:hint="eastAsia"/>
          <w:sz w:val="22"/>
          <w:szCs w:val="22"/>
          <w:rtl/>
        </w:rPr>
        <w:t>تعالى</w:t>
      </w:r>
      <w:r w:rsidRPr="0043703E">
        <w:rPr>
          <w:sz w:val="22"/>
          <w:szCs w:val="22"/>
          <w:rtl/>
        </w:rPr>
        <w:t xml:space="preserve"> </w:t>
      </w:r>
      <w:r w:rsidRPr="0043703E">
        <w:rPr>
          <w:rFonts w:hint="eastAsia"/>
          <w:sz w:val="22"/>
          <w:szCs w:val="22"/>
          <w:rtl/>
        </w:rPr>
        <w:t>شأنه</w:t>
      </w:r>
      <w:r w:rsidRPr="0043703E">
        <w:rPr>
          <w:sz w:val="22"/>
          <w:szCs w:val="22"/>
          <w:rtl/>
        </w:rPr>
        <w:t xml:space="preserve"> </w:t>
      </w:r>
      <w:r w:rsidRPr="0043703E">
        <w:rPr>
          <w:rFonts w:hint="eastAsia"/>
          <w:sz w:val="22"/>
          <w:szCs w:val="22"/>
          <w:rtl/>
        </w:rPr>
        <w:t>العظمة</w:t>
      </w:r>
      <w:r w:rsidRPr="0043703E">
        <w:rPr>
          <w:sz w:val="22"/>
          <w:szCs w:val="22"/>
          <w:rtl/>
        </w:rPr>
        <w:t xml:space="preserve"> </w:t>
      </w:r>
      <w:proofErr w:type="gramStart"/>
      <w:r w:rsidRPr="0043703E">
        <w:rPr>
          <w:rFonts w:hint="eastAsia"/>
          <w:sz w:val="22"/>
          <w:szCs w:val="22"/>
          <w:rtl/>
        </w:rPr>
        <w:t>والاقتدار</w:t>
      </w:r>
      <w:r w:rsidRPr="0043703E">
        <w:rPr>
          <w:sz w:val="20"/>
          <w:szCs w:val="20"/>
        </w:rPr>
        <w:t xml:space="preserve">  This</w:t>
      </w:r>
      <w:proofErr w:type="gramEnd"/>
      <w:r w:rsidRPr="0043703E">
        <w:rPr>
          <w:sz w:val="20"/>
          <w:szCs w:val="20"/>
        </w:rPr>
        <w:t xml:space="preserve"> heading is not translated in Tablets of Bahá’u’lláh and is thus my provisional translation.</w:t>
      </w:r>
    </w:p>
  </w:footnote>
  <w:footnote w:id="54">
    <w:p w14:paraId="4BA12D63" w14:textId="77777777" w:rsidR="0011174C" w:rsidRPr="0043703E" w:rsidRDefault="0011174C">
      <w:pPr>
        <w:pStyle w:val="FootnoteText"/>
        <w:rPr>
          <w:sz w:val="20"/>
          <w:szCs w:val="20"/>
          <w:lang w:val="en-US"/>
        </w:rPr>
      </w:pPr>
      <w:r w:rsidRPr="0043703E">
        <w:rPr>
          <w:rStyle w:val="FootnoteReference"/>
          <w:sz w:val="20"/>
          <w:szCs w:val="20"/>
        </w:rPr>
        <w:footnoteRef/>
      </w:r>
      <w:r w:rsidRPr="0043703E">
        <w:rPr>
          <w:sz w:val="20"/>
          <w:szCs w:val="20"/>
        </w:rPr>
        <w:tab/>
        <w:t>Beirut.  This Tablet is ‘a letter dictated by Bahá’u’lláh and addressed by M</w:t>
      </w:r>
      <w:r w:rsidRPr="0043703E">
        <w:rPr>
          <w:sz w:val="22"/>
          <w:szCs w:val="20"/>
        </w:rPr>
        <w:t>í</w:t>
      </w:r>
      <w:r w:rsidRPr="0043703E">
        <w:rPr>
          <w:sz w:val="20"/>
          <w:szCs w:val="20"/>
        </w:rPr>
        <w:t>rz</w:t>
      </w:r>
      <w:r w:rsidRPr="0043703E">
        <w:rPr>
          <w:sz w:val="22"/>
          <w:szCs w:val="20"/>
        </w:rPr>
        <w:t>á</w:t>
      </w:r>
      <w:r w:rsidRPr="0043703E">
        <w:rPr>
          <w:sz w:val="20"/>
          <w:szCs w:val="20"/>
        </w:rPr>
        <w:t xml:space="preserve"> </w:t>
      </w:r>
      <w:r w:rsidRPr="0043703E">
        <w:rPr>
          <w:sz w:val="22"/>
          <w:szCs w:val="20"/>
        </w:rPr>
        <w:t>Á</w:t>
      </w:r>
      <w:r w:rsidRPr="0043703E">
        <w:rPr>
          <w:sz w:val="20"/>
          <w:szCs w:val="20"/>
        </w:rPr>
        <w:t>q</w:t>
      </w:r>
      <w:r w:rsidRPr="0043703E">
        <w:rPr>
          <w:sz w:val="22"/>
          <w:szCs w:val="20"/>
        </w:rPr>
        <w:t>á</w:t>
      </w:r>
      <w:r w:rsidRPr="0043703E">
        <w:rPr>
          <w:sz w:val="20"/>
          <w:szCs w:val="20"/>
        </w:rPr>
        <w:t xml:space="preserve"> J</w:t>
      </w:r>
      <w:r w:rsidRPr="0043703E">
        <w:rPr>
          <w:sz w:val="22"/>
          <w:szCs w:val="20"/>
        </w:rPr>
        <w:t>á</w:t>
      </w:r>
      <w:r w:rsidRPr="0043703E">
        <w:rPr>
          <w:sz w:val="20"/>
          <w:szCs w:val="20"/>
        </w:rPr>
        <w:t xml:space="preserve">n, His amanuensis, to ‘Abdu’l-Bahá while the latter was on a visit to Beirut.’ (Shoghi Effendi, </w:t>
      </w:r>
      <w:r w:rsidRPr="0043703E">
        <w:rPr>
          <w:i/>
          <w:sz w:val="20"/>
          <w:szCs w:val="20"/>
        </w:rPr>
        <w:t>The World Order of Bahá’u’lláh</w:t>
      </w:r>
      <w:r w:rsidRPr="0043703E">
        <w:rPr>
          <w:sz w:val="20"/>
          <w:szCs w:val="20"/>
        </w:rPr>
        <w:t>, Wilmette:  Bahá’í Publishing Trust, 1991, 136).</w:t>
      </w:r>
    </w:p>
  </w:footnote>
  <w:footnote w:id="55">
    <w:p w14:paraId="0156FDCB" w14:textId="77777777" w:rsidR="00946AA5" w:rsidRPr="0043703E" w:rsidRDefault="00946AA5" w:rsidP="00946AA5">
      <w:pPr>
        <w:pStyle w:val="FootnoteText"/>
        <w:rPr>
          <w:sz w:val="20"/>
          <w:szCs w:val="20"/>
        </w:rPr>
      </w:pPr>
      <w:r w:rsidRPr="0043703E">
        <w:rPr>
          <w:rStyle w:val="FootnoteReference"/>
          <w:sz w:val="20"/>
          <w:szCs w:val="20"/>
        </w:rPr>
        <w:footnoteRef/>
      </w:r>
      <w:r w:rsidRPr="0043703E">
        <w:rPr>
          <w:sz w:val="20"/>
          <w:szCs w:val="20"/>
        </w:rPr>
        <w:tab/>
        <w:t>‘</w:t>
      </w:r>
      <w:proofErr w:type="gramStart"/>
      <w:r w:rsidRPr="0043703E">
        <w:rPr>
          <w:sz w:val="20"/>
          <w:szCs w:val="20"/>
        </w:rPr>
        <w:t>hath</w:t>
      </w:r>
      <w:proofErr w:type="gramEnd"/>
      <w:r w:rsidRPr="0043703E">
        <w:rPr>
          <w:sz w:val="20"/>
          <w:szCs w:val="20"/>
        </w:rPr>
        <w:t xml:space="preserve"> appeared and above its horizon there hath shone forth’ is in MHA ms.:</w:t>
      </w:r>
    </w:p>
    <w:p w14:paraId="01530B86" w14:textId="77777777" w:rsidR="00946AA5" w:rsidRPr="0043703E" w:rsidRDefault="0011174C" w:rsidP="0011174C">
      <w:pPr>
        <w:pStyle w:val="FootnoteText"/>
        <w:rPr>
          <w:sz w:val="22"/>
          <w:szCs w:val="22"/>
          <w:lang w:val="en-US"/>
        </w:rPr>
      </w:pPr>
      <w:r w:rsidRPr="0043703E">
        <w:rPr>
          <w:sz w:val="22"/>
          <w:szCs w:val="22"/>
          <w:lang w:val="en-US"/>
        </w:rPr>
        <w:tab/>
      </w:r>
      <w:r w:rsidR="00946AA5" w:rsidRPr="0043703E">
        <w:rPr>
          <w:rFonts w:hint="cs"/>
          <w:sz w:val="22"/>
          <w:szCs w:val="22"/>
          <w:rtl/>
        </w:rPr>
        <w:t xml:space="preserve">طلع </w:t>
      </w:r>
      <w:proofErr w:type="gramStart"/>
      <w:r w:rsidR="00946AA5" w:rsidRPr="0043703E">
        <w:rPr>
          <w:rFonts w:hint="cs"/>
          <w:sz w:val="22"/>
          <w:szCs w:val="22"/>
          <w:rtl/>
        </w:rPr>
        <w:t>و لاح</w:t>
      </w:r>
      <w:proofErr w:type="gramEnd"/>
      <w:r w:rsidR="00946AA5" w:rsidRPr="0043703E">
        <w:rPr>
          <w:rFonts w:hint="cs"/>
          <w:sz w:val="22"/>
          <w:szCs w:val="22"/>
          <w:rtl/>
        </w:rPr>
        <w:t xml:space="preserve"> و ظهر و اشرق و خرج</w:t>
      </w:r>
    </w:p>
  </w:footnote>
  <w:footnote w:id="56">
    <w:p w14:paraId="69EDBEB0" w14:textId="77777777" w:rsidR="00946AA5" w:rsidRPr="0043703E" w:rsidRDefault="00946AA5">
      <w:pPr>
        <w:pStyle w:val="FootnoteText"/>
        <w:rPr>
          <w:sz w:val="20"/>
          <w:szCs w:val="20"/>
          <w:lang w:val="en-US"/>
        </w:rPr>
      </w:pPr>
      <w:r w:rsidRPr="0043703E">
        <w:rPr>
          <w:rStyle w:val="FootnoteReference"/>
          <w:sz w:val="20"/>
          <w:szCs w:val="20"/>
        </w:rPr>
        <w:footnoteRef/>
      </w:r>
      <w:r w:rsidRPr="0043703E">
        <w:rPr>
          <w:sz w:val="20"/>
          <w:szCs w:val="20"/>
        </w:rPr>
        <w:tab/>
      </w:r>
      <w:r w:rsidRPr="0043703E">
        <w:rPr>
          <w:rFonts w:hint="cs"/>
          <w:sz w:val="22"/>
          <w:szCs w:val="22"/>
          <w:rtl/>
          <w:lang w:bidi="ar-IQ"/>
        </w:rPr>
        <w:t>بِأن</w:t>
      </w:r>
      <w:r w:rsidRPr="0043703E">
        <w:rPr>
          <w:sz w:val="20"/>
          <w:szCs w:val="20"/>
        </w:rPr>
        <w:t xml:space="preserve">  is in MHA ms.</w:t>
      </w:r>
    </w:p>
  </w:footnote>
  <w:footnote w:id="57">
    <w:p w14:paraId="60B95550" w14:textId="77777777" w:rsidR="00946AA5" w:rsidRPr="0043703E" w:rsidRDefault="00946AA5">
      <w:pPr>
        <w:pStyle w:val="FootnoteText"/>
        <w:rPr>
          <w:sz w:val="20"/>
          <w:szCs w:val="20"/>
          <w:lang w:val="en-US"/>
        </w:rPr>
      </w:pPr>
      <w:r w:rsidRPr="0043703E">
        <w:rPr>
          <w:rStyle w:val="FootnoteReference"/>
          <w:sz w:val="20"/>
          <w:szCs w:val="20"/>
        </w:rPr>
        <w:footnoteRef/>
      </w:r>
      <w:r w:rsidRPr="0043703E">
        <w:rPr>
          <w:sz w:val="20"/>
          <w:szCs w:val="20"/>
        </w:rPr>
        <w:tab/>
      </w:r>
      <w:r w:rsidRPr="0043703E">
        <w:rPr>
          <w:i/>
          <w:sz w:val="20"/>
          <w:szCs w:val="20"/>
        </w:rPr>
        <w:t>Tablets of Bahá’u’lláh</w:t>
      </w:r>
      <w:r w:rsidRPr="0043703E">
        <w:rPr>
          <w:sz w:val="20"/>
          <w:szCs w:val="20"/>
        </w:rPr>
        <w:t xml:space="preserve"> 227–28.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631863773">
    <w:abstractNumId w:val="9"/>
  </w:num>
  <w:num w:numId="2" w16cid:durableId="563570366">
    <w:abstractNumId w:val="7"/>
  </w:num>
  <w:num w:numId="3" w16cid:durableId="7566298">
    <w:abstractNumId w:val="6"/>
  </w:num>
  <w:num w:numId="4" w16cid:durableId="817067316">
    <w:abstractNumId w:val="5"/>
  </w:num>
  <w:num w:numId="5" w16cid:durableId="786117272">
    <w:abstractNumId w:val="4"/>
  </w:num>
  <w:num w:numId="6" w16cid:durableId="1564562258">
    <w:abstractNumId w:val="8"/>
  </w:num>
  <w:num w:numId="7" w16cid:durableId="63453755">
    <w:abstractNumId w:val="3"/>
  </w:num>
  <w:num w:numId="8" w16cid:durableId="1216695188">
    <w:abstractNumId w:val="2"/>
  </w:num>
  <w:num w:numId="9" w16cid:durableId="1369917106">
    <w:abstractNumId w:val="1"/>
  </w:num>
  <w:num w:numId="10" w16cid:durableId="104251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0" w:nlCheck="1" w:checkStyle="0"/>
  <w:activeWritingStyle w:appName="MSWord" w:lang="ar-SA"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25"/>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65B2"/>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3045E"/>
    <w:rsid w:val="00030E64"/>
    <w:rsid w:val="00031016"/>
    <w:rsid w:val="00031A17"/>
    <w:rsid w:val="00031C4A"/>
    <w:rsid w:val="00031EA6"/>
    <w:rsid w:val="000322E2"/>
    <w:rsid w:val="000322F0"/>
    <w:rsid w:val="0003280F"/>
    <w:rsid w:val="00033A1F"/>
    <w:rsid w:val="00033DC6"/>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204D"/>
    <w:rsid w:val="000422B5"/>
    <w:rsid w:val="000430A9"/>
    <w:rsid w:val="000430D6"/>
    <w:rsid w:val="00045275"/>
    <w:rsid w:val="0004654B"/>
    <w:rsid w:val="0004657C"/>
    <w:rsid w:val="000467CF"/>
    <w:rsid w:val="00046AB5"/>
    <w:rsid w:val="00046D14"/>
    <w:rsid w:val="000471C4"/>
    <w:rsid w:val="000500D6"/>
    <w:rsid w:val="000505DD"/>
    <w:rsid w:val="000507C7"/>
    <w:rsid w:val="00050E14"/>
    <w:rsid w:val="000513D8"/>
    <w:rsid w:val="0005148F"/>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67E82"/>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66FB"/>
    <w:rsid w:val="00077744"/>
    <w:rsid w:val="00077A4D"/>
    <w:rsid w:val="00077E3F"/>
    <w:rsid w:val="00080654"/>
    <w:rsid w:val="00080D48"/>
    <w:rsid w:val="00080EE4"/>
    <w:rsid w:val="000815A4"/>
    <w:rsid w:val="000818F3"/>
    <w:rsid w:val="00081B29"/>
    <w:rsid w:val="00082674"/>
    <w:rsid w:val="0008329D"/>
    <w:rsid w:val="0008493C"/>
    <w:rsid w:val="000852F3"/>
    <w:rsid w:val="00085847"/>
    <w:rsid w:val="00086059"/>
    <w:rsid w:val="00086796"/>
    <w:rsid w:val="00086C6E"/>
    <w:rsid w:val="00086EBA"/>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4EA2"/>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2FC"/>
    <w:rsid w:val="000C6780"/>
    <w:rsid w:val="000C6AC5"/>
    <w:rsid w:val="000C77AB"/>
    <w:rsid w:val="000C7B1D"/>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B15"/>
    <w:rsid w:val="000F2C95"/>
    <w:rsid w:val="000F3FF1"/>
    <w:rsid w:val="000F60C3"/>
    <w:rsid w:val="000F68A1"/>
    <w:rsid w:val="000F752D"/>
    <w:rsid w:val="000F7AFA"/>
    <w:rsid w:val="000F7C79"/>
    <w:rsid w:val="001004B2"/>
    <w:rsid w:val="00100DA6"/>
    <w:rsid w:val="00101347"/>
    <w:rsid w:val="00101B31"/>
    <w:rsid w:val="00102319"/>
    <w:rsid w:val="00103021"/>
    <w:rsid w:val="001036CF"/>
    <w:rsid w:val="0010385E"/>
    <w:rsid w:val="00103F69"/>
    <w:rsid w:val="001047BB"/>
    <w:rsid w:val="00105689"/>
    <w:rsid w:val="0010568F"/>
    <w:rsid w:val="00105C1E"/>
    <w:rsid w:val="001069EB"/>
    <w:rsid w:val="001078A7"/>
    <w:rsid w:val="001079A5"/>
    <w:rsid w:val="001106E6"/>
    <w:rsid w:val="00110B60"/>
    <w:rsid w:val="0011174C"/>
    <w:rsid w:val="001118BE"/>
    <w:rsid w:val="00111C7C"/>
    <w:rsid w:val="00112499"/>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5E0"/>
    <w:rsid w:val="00122B2E"/>
    <w:rsid w:val="0012336A"/>
    <w:rsid w:val="001238D8"/>
    <w:rsid w:val="00123B2D"/>
    <w:rsid w:val="00123FDC"/>
    <w:rsid w:val="00124356"/>
    <w:rsid w:val="0012680A"/>
    <w:rsid w:val="001275A6"/>
    <w:rsid w:val="00127E4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FAF"/>
    <w:rsid w:val="0014535B"/>
    <w:rsid w:val="0014688E"/>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31FD"/>
    <w:rsid w:val="00183356"/>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486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AE6"/>
    <w:rsid w:val="001C3F44"/>
    <w:rsid w:val="001C3FFB"/>
    <w:rsid w:val="001C4404"/>
    <w:rsid w:val="001C4EEF"/>
    <w:rsid w:val="001C4F32"/>
    <w:rsid w:val="001C6340"/>
    <w:rsid w:val="001C6A04"/>
    <w:rsid w:val="001C7343"/>
    <w:rsid w:val="001C75E0"/>
    <w:rsid w:val="001C7997"/>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6D11"/>
    <w:rsid w:val="001E7832"/>
    <w:rsid w:val="001E7BAC"/>
    <w:rsid w:val="001F04A8"/>
    <w:rsid w:val="001F0A83"/>
    <w:rsid w:val="001F0A94"/>
    <w:rsid w:val="001F0FB7"/>
    <w:rsid w:val="001F1C2C"/>
    <w:rsid w:val="001F2815"/>
    <w:rsid w:val="001F2F51"/>
    <w:rsid w:val="001F3389"/>
    <w:rsid w:val="001F3DC3"/>
    <w:rsid w:val="001F40DA"/>
    <w:rsid w:val="001F45C4"/>
    <w:rsid w:val="001F45E9"/>
    <w:rsid w:val="001F4912"/>
    <w:rsid w:val="001F4F98"/>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41E8"/>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A4E"/>
    <w:rsid w:val="00241AB4"/>
    <w:rsid w:val="00241AE4"/>
    <w:rsid w:val="002420CA"/>
    <w:rsid w:val="00242C66"/>
    <w:rsid w:val="00243269"/>
    <w:rsid w:val="00243A0E"/>
    <w:rsid w:val="00243F25"/>
    <w:rsid w:val="00245433"/>
    <w:rsid w:val="00245EDA"/>
    <w:rsid w:val="0024654F"/>
    <w:rsid w:val="002467ED"/>
    <w:rsid w:val="00246FD9"/>
    <w:rsid w:val="00247F82"/>
    <w:rsid w:val="00252435"/>
    <w:rsid w:val="00252B92"/>
    <w:rsid w:val="0025369F"/>
    <w:rsid w:val="0025413E"/>
    <w:rsid w:val="002541EF"/>
    <w:rsid w:val="0025463F"/>
    <w:rsid w:val="0025483B"/>
    <w:rsid w:val="0025653D"/>
    <w:rsid w:val="0025665D"/>
    <w:rsid w:val="002568AD"/>
    <w:rsid w:val="00256C72"/>
    <w:rsid w:val="00256C80"/>
    <w:rsid w:val="00261597"/>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6DC"/>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1098"/>
    <w:rsid w:val="002A194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18A"/>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01A4"/>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7701"/>
    <w:rsid w:val="00310059"/>
    <w:rsid w:val="00310AB7"/>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F4D"/>
    <w:rsid w:val="00330C05"/>
    <w:rsid w:val="00330DC6"/>
    <w:rsid w:val="00331954"/>
    <w:rsid w:val="00331CF9"/>
    <w:rsid w:val="00334051"/>
    <w:rsid w:val="003354D5"/>
    <w:rsid w:val="0033553B"/>
    <w:rsid w:val="003357BA"/>
    <w:rsid w:val="00335837"/>
    <w:rsid w:val="003361CE"/>
    <w:rsid w:val="00336CFD"/>
    <w:rsid w:val="00337CC1"/>
    <w:rsid w:val="0034086B"/>
    <w:rsid w:val="003421D9"/>
    <w:rsid w:val="00342FD3"/>
    <w:rsid w:val="003432B1"/>
    <w:rsid w:val="003436DB"/>
    <w:rsid w:val="00343BCD"/>
    <w:rsid w:val="0034454F"/>
    <w:rsid w:val="00344AC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817"/>
    <w:rsid w:val="003529FD"/>
    <w:rsid w:val="00353F03"/>
    <w:rsid w:val="00354745"/>
    <w:rsid w:val="00354BDE"/>
    <w:rsid w:val="00354F22"/>
    <w:rsid w:val="0035510E"/>
    <w:rsid w:val="00355C4E"/>
    <w:rsid w:val="00355F03"/>
    <w:rsid w:val="00355F44"/>
    <w:rsid w:val="003564E7"/>
    <w:rsid w:val="00356FE6"/>
    <w:rsid w:val="0035741C"/>
    <w:rsid w:val="0035794B"/>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3E6C"/>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708B"/>
    <w:rsid w:val="003871F5"/>
    <w:rsid w:val="003872BC"/>
    <w:rsid w:val="00387917"/>
    <w:rsid w:val="00387A6A"/>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E59"/>
    <w:rsid w:val="004152FF"/>
    <w:rsid w:val="0041576C"/>
    <w:rsid w:val="00415D1E"/>
    <w:rsid w:val="00415DA2"/>
    <w:rsid w:val="00415DB2"/>
    <w:rsid w:val="004165B2"/>
    <w:rsid w:val="00417205"/>
    <w:rsid w:val="0041799C"/>
    <w:rsid w:val="00417A90"/>
    <w:rsid w:val="00420BC1"/>
    <w:rsid w:val="00421CCE"/>
    <w:rsid w:val="0042270A"/>
    <w:rsid w:val="0042316C"/>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03E"/>
    <w:rsid w:val="00437325"/>
    <w:rsid w:val="0043780E"/>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848"/>
    <w:rsid w:val="00453A10"/>
    <w:rsid w:val="004543E2"/>
    <w:rsid w:val="00454980"/>
    <w:rsid w:val="00454FF5"/>
    <w:rsid w:val="00455131"/>
    <w:rsid w:val="00455E7B"/>
    <w:rsid w:val="0045611E"/>
    <w:rsid w:val="00456CD0"/>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5928"/>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6A0D"/>
    <w:rsid w:val="0049734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5"/>
    <w:rsid w:val="00500F99"/>
    <w:rsid w:val="0050170F"/>
    <w:rsid w:val="00502C0B"/>
    <w:rsid w:val="00503430"/>
    <w:rsid w:val="005034B4"/>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19A1"/>
    <w:rsid w:val="00553A70"/>
    <w:rsid w:val="00554073"/>
    <w:rsid w:val="0055429F"/>
    <w:rsid w:val="00554580"/>
    <w:rsid w:val="005553F6"/>
    <w:rsid w:val="005559CE"/>
    <w:rsid w:val="00555C32"/>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1F47"/>
    <w:rsid w:val="00582952"/>
    <w:rsid w:val="00582AA4"/>
    <w:rsid w:val="00583218"/>
    <w:rsid w:val="005832B6"/>
    <w:rsid w:val="00583743"/>
    <w:rsid w:val="00583E0E"/>
    <w:rsid w:val="0058440B"/>
    <w:rsid w:val="005847A7"/>
    <w:rsid w:val="0058484B"/>
    <w:rsid w:val="00585156"/>
    <w:rsid w:val="0058520C"/>
    <w:rsid w:val="0058631B"/>
    <w:rsid w:val="00586990"/>
    <w:rsid w:val="00587823"/>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4BC7"/>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35FE"/>
    <w:rsid w:val="005E4678"/>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3351"/>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9E9"/>
    <w:rsid w:val="00657975"/>
    <w:rsid w:val="00657E83"/>
    <w:rsid w:val="00657EF0"/>
    <w:rsid w:val="00660374"/>
    <w:rsid w:val="0066088C"/>
    <w:rsid w:val="00661022"/>
    <w:rsid w:val="006612FC"/>
    <w:rsid w:val="00663830"/>
    <w:rsid w:val="00664E43"/>
    <w:rsid w:val="00665BAA"/>
    <w:rsid w:val="00665F51"/>
    <w:rsid w:val="0066637F"/>
    <w:rsid w:val="00666AC2"/>
    <w:rsid w:val="00666AEE"/>
    <w:rsid w:val="00666FA7"/>
    <w:rsid w:val="0066746C"/>
    <w:rsid w:val="00670419"/>
    <w:rsid w:val="00670BF6"/>
    <w:rsid w:val="00670D77"/>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547"/>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3E81"/>
    <w:rsid w:val="006A44E5"/>
    <w:rsid w:val="006A473D"/>
    <w:rsid w:val="006A47D3"/>
    <w:rsid w:val="006A50B1"/>
    <w:rsid w:val="006A796C"/>
    <w:rsid w:val="006A7AD0"/>
    <w:rsid w:val="006B0648"/>
    <w:rsid w:val="006B0ACD"/>
    <w:rsid w:val="006B124A"/>
    <w:rsid w:val="006B1333"/>
    <w:rsid w:val="006B1437"/>
    <w:rsid w:val="006B1AF6"/>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9BA"/>
    <w:rsid w:val="0070156D"/>
    <w:rsid w:val="00701AA3"/>
    <w:rsid w:val="0070206C"/>
    <w:rsid w:val="00702C3F"/>
    <w:rsid w:val="007030D2"/>
    <w:rsid w:val="00703400"/>
    <w:rsid w:val="00704046"/>
    <w:rsid w:val="0070414B"/>
    <w:rsid w:val="0070454C"/>
    <w:rsid w:val="0070563D"/>
    <w:rsid w:val="00705ACE"/>
    <w:rsid w:val="0070624C"/>
    <w:rsid w:val="007104B0"/>
    <w:rsid w:val="00710834"/>
    <w:rsid w:val="007109C6"/>
    <w:rsid w:val="00710DE6"/>
    <w:rsid w:val="007115E1"/>
    <w:rsid w:val="00711601"/>
    <w:rsid w:val="0071182B"/>
    <w:rsid w:val="00711E80"/>
    <w:rsid w:val="00712631"/>
    <w:rsid w:val="007130C5"/>
    <w:rsid w:val="00714C27"/>
    <w:rsid w:val="00714DA7"/>
    <w:rsid w:val="0071537A"/>
    <w:rsid w:val="00715C7A"/>
    <w:rsid w:val="00716439"/>
    <w:rsid w:val="00717847"/>
    <w:rsid w:val="007204E4"/>
    <w:rsid w:val="007205F2"/>
    <w:rsid w:val="007207EB"/>
    <w:rsid w:val="00720826"/>
    <w:rsid w:val="00720962"/>
    <w:rsid w:val="00720E91"/>
    <w:rsid w:val="0072143B"/>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7EE"/>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EE4"/>
    <w:rsid w:val="00771FE9"/>
    <w:rsid w:val="007725A5"/>
    <w:rsid w:val="007725C5"/>
    <w:rsid w:val="00773E61"/>
    <w:rsid w:val="00774182"/>
    <w:rsid w:val="00774CDC"/>
    <w:rsid w:val="00775635"/>
    <w:rsid w:val="007756B8"/>
    <w:rsid w:val="00775722"/>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AE8"/>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352"/>
    <w:rsid w:val="007B64EC"/>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690E"/>
    <w:rsid w:val="007C729B"/>
    <w:rsid w:val="007D0514"/>
    <w:rsid w:val="007D11A5"/>
    <w:rsid w:val="007D11EE"/>
    <w:rsid w:val="007D1C61"/>
    <w:rsid w:val="007D20D2"/>
    <w:rsid w:val="007D2B23"/>
    <w:rsid w:val="007D2CCD"/>
    <w:rsid w:val="007D2D0E"/>
    <w:rsid w:val="007D5979"/>
    <w:rsid w:val="007D608A"/>
    <w:rsid w:val="007D6FD7"/>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C35"/>
    <w:rsid w:val="007F51EF"/>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885"/>
    <w:rsid w:val="00812F29"/>
    <w:rsid w:val="00813043"/>
    <w:rsid w:val="008133DC"/>
    <w:rsid w:val="008156E7"/>
    <w:rsid w:val="00815E20"/>
    <w:rsid w:val="00816C87"/>
    <w:rsid w:val="00816D44"/>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81B"/>
    <w:rsid w:val="00825393"/>
    <w:rsid w:val="00825ACF"/>
    <w:rsid w:val="00825BBB"/>
    <w:rsid w:val="00826292"/>
    <w:rsid w:val="00826C60"/>
    <w:rsid w:val="00826CD7"/>
    <w:rsid w:val="00827743"/>
    <w:rsid w:val="0083082C"/>
    <w:rsid w:val="00830C67"/>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F1"/>
    <w:rsid w:val="008562AA"/>
    <w:rsid w:val="00856692"/>
    <w:rsid w:val="008575B5"/>
    <w:rsid w:val="00857A26"/>
    <w:rsid w:val="00857BA8"/>
    <w:rsid w:val="00857FEF"/>
    <w:rsid w:val="008603E1"/>
    <w:rsid w:val="008606F6"/>
    <w:rsid w:val="00860F68"/>
    <w:rsid w:val="00861FF5"/>
    <w:rsid w:val="00862555"/>
    <w:rsid w:val="00862898"/>
    <w:rsid w:val="00862B02"/>
    <w:rsid w:val="00862BFF"/>
    <w:rsid w:val="00863A11"/>
    <w:rsid w:val="00864543"/>
    <w:rsid w:val="008645CB"/>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3020"/>
    <w:rsid w:val="008B535E"/>
    <w:rsid w:val="008B6E19"/>
    <w:rsid w:val="008B7A75"/>
    <w:rsid w:val="008B7EA9"/>
    <w:rsid w:val="008C0EE1"/>
    <w:rsid w:val="008C191B"/>
    <w:rsid w:val="008C1ADA"/>
    <w:rsid w:val="008C1CE4"/>
    <w:rsid w:val="008C2082"/>
    <w:rsid w:val="008C4816"/>
    <w:rsid w:val="008C589F"/>
    <w:rsid w:val="008C5B29"/>
    <w:rsid w:val="008C5B78"/>
    <w:rsid w:val="008C5BB1"/>
    <w:rsid w:val="008C66D2"/>
    <w:rsid w:val="008C67DF"/>
    <w:rsid w:val="008C69E9"/>
    <w:rsid w:val="008D0FAA"/>
    <w:rsid w:val="008D1A23"/>
    <w:rsid w:val="008D2242"/>
    <w:rsid w:val="008D2497"/>
    <w:rsid w:val="008D27ED"/>
    <w:rsid w:val="008D3488"/>
    <w:rsid w:val="008D4C39"/>
    <w:rsid w:val="008D6064"/>
    <w:rsid w:val="008D685A"/>
    <w:rsid w:val="008D6AA3"/>
    <w:rsid w:val="008D6FFE"/>
    <w:rsid w:val="008D70A0"/>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A86"/>
    <w:rsid w:val="008E6C8A"/>
    <w:rsid w:val="008E6E29"/>
    <w:rsid w:val="008E75BC"/>
    <w:rsid w:val="008E75DC"/>
    <w:rsid w:val="008F0267"/>
    <w:rsid w:val="008F0F5E"/>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8F71C7"/>
    <w:rsid w:val="008F7FA4"/>
    <w:rsid w:val="0090020F"/>
    <w:rsid w:val="009010B5"/>
    <w:rsid w:val="009010F2"/>
    <w:rsid w:val="00901303"/>
    <w:rsid w:val="00902383"/>
    <w:rsid w:val="00902D53"/>
    <w:rsid w:val="00903A63"/>
    <w:rsid w:val="00903DEA"/>
    <w:rsid w:val="0090447C"/>
    <w:rsid w:val="009045E2"/>
    <w:rsid w:val="00904B4B"/>
    <w:rsid w:val="009050D9"/>
    <w:rsid w:val="009054CF"/>
    <w:rsid w:val="009056D1"/>
    <w:rsid w:val="00905BC5"/>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689"/>
    <w:rsid w:val="00924266"/>
    <w:rsid w:val="009270E9"/>
    <w:rsid w:val="0092711E"/>
    <w:rsid w:val="00927375"/>
    <w:rsid w:val="00931712"/>
    <w:rsid w:val="00932A15"/>
    <w:rsid w:val="0093317E"/>
    <w:rsid w:val="0093379C"/>
    <w:rsid w:val="00933EF8"/>
    <w:rsid w:val="00934EE7"/>
    <w:rsid w:val="00935057"/>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6AA5"/>
    <w:rsid w:val="00946CBB"/>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272"/>
    <w:rsid w:val="00996BDA"/>
    <w:rsid w:val="00996CA3"/>
    <w:rsid w:val="0099737E"/>
    <w:rsid w:val="00997959"/>
    <w:rsid w:val="009A1446"/>
    <w:rsid w:val="009A187D"/>
    <w:rsid w:val="009A18CF"/>
    <w:rsid w:val="009A1A00"/>
    <w:rsid w:val="009A1B85"/>
    <w:rsid w:val="009A242E"/>
    <w:rsid w:val="009A27C4"/>
    <w:rsid w:val="009A2A1F"/>
    <w:rsid w:val="009A2EEF"/>
    <w:rsid w:val="009A3333"/>
    <w:rsid w:val="009A3522"/>
    <w:rsid w:val="009A35BA"/>
    <w:rsid w:val="009A35FB"/>
    <w:rsid w:val="009A4320"/>
    <w:rsid w:val="009A4A19"/>
    <w:rsid w:val="009A4A99"/>
    <w:rsid w:val="009A55C3"/>
    <w:rsid w:val="009A562C"/>
    <w:rsid w:val="009A5CC1"/>
    <w:rsid w:val="009A6CF0"/>
    <w:rsid w:val="009A6FB9"/>
    <w:rsid w:val="009A7316"/>
    <w:rsid w:val="009A743E"/>
    <w:rsid w:val="009A7560"/>
    <w:rsid w:val="009A7D88"/>
    <w:rsid w:val="009A7FE6"/>
    <w:rsid w:val="009B083A"/>
    <w:rsid w:val="009B084C"/>
    <w:rsid w:val="009B20B1"/>
    <w:rsid w:val="009B21A1"/>
    <w:rsid w:val="009B27B6"/>
    <w:rsid w:val="009B2991"/>
    <w:rsid w:val="009B2EDD"/>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4E15"/>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722"/>
    <w:rsid w:val="009E783F"/>
    <w:rsid w:val="009F072A"/>
    <w:rsid w:val="009F077B"/>
    <w:rsid w:val="009F181C"/>
    <w:rsid w:val="009F1A2A"/>
    <w:rsid w:val="009F261F"/>
    <w:rsid w:val="009F34F1"/>
    <w:rsid w:val="009F379F"/>
    <w:rsid w:val="009F3BD8"/>
    <w:rsid w:val="009F3F7A"/>
    <w:rsid w:val="009F4A3B"/>
    <w:rsid w:val="009F660F"/>
    <w:rsid w:val="009F6781"/>
    <w:rsid w:val="009F696C"/>
    <w:rsid w:val="009F6CFF"/>
    <w:rsid w:val="00A00731"/>
    <w:rsid w:val="00A01F36"/>
    <w:rsid w:val="00A023A9"/>
    <w:rsid w:val="00A02905"/>
    <w:rsid w:val="00A036D5"/>
    <w:rsid w:val="00A03865"/>
    <w:rsid w:val="00A041D0"/>
    <w:rsid w:val="00A0447C"/>
    <w:rsid w:val="00A04955"/>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9D"/>
    <w:rsid w:val="00A33073"/>
    <w:rsid w:val="00A3402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7C9B"/>
    <w:rsid w:val="00A47E27"/>
    <w:rsid w:val="00A505DD"/>
    <w:rsid w:val="00A50EC0"/>
    <w:rsid w:val="00A5112C"/>
    <w:rsid w:val="00A51975"/>
    <w:rsid w:val="00A52A28"/>
    <w:rsid w:val="00A53CBC"/>
    <w:rsid w:val="00A53E3D"/>
    <w:rsid w:val="00A54270"/>
    <w:rsid w:val="00A544E2"/>
    <w:rsid w:val="00A549B8"/>
    <w:rsid w:val="00A55E99"/>
    <w:rsid w:val="00A566D2"/>
    <w:rsid w:val="00A5736E"/>
    <w:rsid w:val="00A57B7A"/>
    <w:rsid w:val="00A6035C"/>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338B"/>
    <w:rsid w:val="00AC4385"/>
    <w:rsid w:val="00AC47E3"/>
    <w:rsid w:val="00AC49ED"/>
    <w:rsid w:val="00AC53E0"/>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414C"/>
    <w:rsid w:val="00AE44C7"/>
    <w:rsid w:val="00AE5ECB"/>
    <w:rsid w:val="00AE6375"/>
    <w:rsid w:val="00AE63CE"/>
    <w:rsid w:val="00AE6A4B"/>
    <w:rsid w:val="00AE6E4F"/>
    <w:rsid w:val="00AE7149"/>
    <w:rsid w:val="00AF0186"/>
    <w:rsid w:val="00AF0527"/>
    <w:rsid w:val="00AF06F0"/>
    <w:rsid w:val="00AF1199"/>
    <w:rsid w:val="00AF1271"/>
    <w:rsid w:val="00AF1C21"/>
    <w:rsid w:val="00AF24D5"/>
    <w:rsid w:val="00AF24DA"/>
    <w:rsid w:val="00AF2561"/>
    <w:rsid w:val="00AF2622"/>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D1B"/>
    <w:rsid w:val="00B11E59"/>
    <w:rsid w:val="00B1264D"/>
    <w:rsid w:val="00B126B2"/>
    <w:rsid w:val="00B12A76"/>
    <w:rsid w:val="00B130CF"/>
    <w:rsid w:val="00B1454A"/>
    <w:rsid w:val="00B17711"/>
    <w:rsid w:val="00B17978"/>
    <w:rsid w:val="00B20700"/>
    <w:rsid w:val="00B20F45"/>
    <w:rsid w:val="00B2135A"/>
    <w:rsid w:val="00B213C7"/>
    <w:rsid w:val="00B216F5"/>
    <w:rsid w:val="00B22D78"/>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2DC"/>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AF3"/>
    <w:rsid w:val="00B70F4E"/>
    <w:rsid w:val="00B7111F"/>
    <w:rsid w:val="00B72215"/>
    <w:rsid w:val="00B723D3"/>
    <w:rsid w:val="00B73025"/>
    <w:rsid w:val="00B73848"/>
    <w:rsid w:val="00B74E56"/>
    <w:rsid w:val="00B74F5A"/>
    <w:rsid w:val="00B75DE7"/>
    <w:rsid w:val="00B76076"/>
    <w:rsid w:val="00B76078"/>
    <w:rsid w:val="00B761B9"/>
    <w:rsid w:val="00B7680D"/>
    <w:rsid w:val="00B76979"/>
    <w:rsid w:val="00B76BF3"/>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C7"/>
    <w:rsid w:val="00BB77F3"/>
    <w:rsid w:val="00BB7C0A"/>
    <w:rsid w:val="00BB7F7E"/>
    <w:rsid w:val="00BC1238"/>
    <w:rsid w:val="00BC14E7"/>
    <w:rsid w:val="00BC1CB2"/>
    <w:rsid w:val="00BC1F5F"/>
    <w:rsid w:val="00BC235C"/>
    <w:rsid w:val="00BC3686"/>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1DC"/>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38B"/>
    <w:rsid w:val="00C153CB"/>
    <w:rsid w:val="00C155EE"/>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4E1"/>
    <w:rsid w:val="00C2774A"/>
    <w:rsid w:val="00C2789C"/>
    <w:rsid w:val="00C30109"/>
    <w:rsid w:val="00C305CF"/>
    <w:rsid w:val="00C3086C"/>
    <w:rsid w:val="00C309D6"/>
    <w:rsid w:val="00C30ACB"/>
    <w:rsid w:val="00C30E84"/>
    <w:rsid w:val="00C3144B"/>
    <w:rsid w:val="00C316BD"/>
    <w:rsid w:val="00C31CD2"/>
    <w:rsid w:val="00C3238A"/>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B80"/>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28B"/>
    <w:rsid w:val="00C5257A"/>
    <w:rsid w:val="00C532E1"/>
    <w:rsid w:val="00C533A0"/>
    <w:rsid w:val="00C53433"/>
    <w:rsid w:val="00C5377B"/>
    <w:rsid w:val="00C53945"/>
    <w:rsid w:val="00C54072"/>
    <w:rsid w:val="00C546A9"/>
    <w:rsid w:val="00C54BE6"/>
    <w:rsid w:val="00C55074"/>
    <w:rsid w:val="00C55566"/>
    <w:rsid w:val="00C55A5F"/>
    <w:rsid w:val="00C55FF8"/>
    <w:rsid w:val="00C567CD"/>
    <w:rsid w:val="00C570D7"/>
    <w:rsid w:val="00C57C2C"/>
    <w:rsid w:val="00C601DF"/>
    <w:rsid w:val="00C60712"/>
    <w:rsid w:val="00C608FF"/>
    <w:rsid w:val="00C62955"/>
    <w:rsid w:val="00C63AF7"/>
    <w:rsid w:val="00C63E3D"/>
    <w:rsid w:val="00C6517E"/>
    <w:rsid w:val="00C65539"/>
    <w:rsid w:val="00C65A96"/>
    <w:rsid w:val="00C66662"/>
    <w:rsid w:val="00C66713"/>
    <w:rsid w:val="00C6697E"/>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28AF"/>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4C70"/>
    <w:rsid w:val="00C954F4"/>
    <w:rsid w:val="00C9587F"/>
    <w:rsid w:val="00C9633D"/>
    <w:rsid w:val="00C963A6"/>
    <w:rsid w:val="00C969E0"/>
    <w:rsid w:val="00C96D32"/>
    <w:rsid w:val="00C97E7E"/>
    <w:rsid w:val="00CA1542"/>
    <w:rsid w:val="00CA1BC2"/>
    <w:rsid w:val="00CA1D94"/>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4D68"/>
    <w:rsid w:val="00CB5694"/>
    <w:rsid w:val="00CB5853"/>
    <w:rsid w:val="00CB5EC1"/>
    <w:rsid w:val="00CB6C0B"/>
    <w:rsid w:val="00CB7242"/>
    <w:rsid w:val="00CC067D"/>
    <w:rsid w:val="00CC0B85"/>
    <w:rsid w:val="00CC0CBA"/>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40AC"/>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10E3"/>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9C8"/>
    <w:rsid w:val="00D24E03"/>
    <w:rsid w:val="00D25448"/>
    <w:rsid w:val="00D257B2"/>
    <w:rsid w:val="00D25B4F"/>
    <w:rsid w:val="00D26238"/>
    <w:rsid w:val="00D26C6E"/>
    <w:rsid w:val="00D270E3"/>
    <w:rsid w:val="00D276D8"/>
    <w:rsid w:val="00D27B7D"/>
    <w:rsid w:val="00D31349"/>
    <w:rsid w:val="00D321FE"/>
    <w:rsid w:val="00D3230E"/>
    <w:rsid w:val="00D32410"/>
    <w:rsid w:val="00D34243"/>
    <w:rsid w:val="00D34B81"/>
    <w:rsid w:val="00D34FE6"/>
    <w:rsid w:val="00D359D3"/>
    <w:rsid w:val="00D36356"/>
    <w:rsid w:val="00D37666"/>
    <w:rsid w:val="00D376BA"/>
    <w:rsid w:val="00D40458"/>
    <w:rsid w:val="00D40715"/>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FBC"/>
    <w:rsid w:val="00D5302C"/>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1B1"/>
    <w:rsid w:val="00D642FB"/>
    <w:rsid w:val="00D649BC"/>
    <w:rsid w:val="00D64F1B"/>
    <w:rsid w:val="00D65018"/>
    <w:rsid w:val="00D6550F"/>
    <w:rsid w:val="00D65533"/>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AE6"/>
    <w:rsid w:val="00D91CCD"/>
    <w:rsid w:val="00D91E73"/>
    <w:rsid w:val="00D93C5A"/>
    <w:rsid w:val="00D93F00"/>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35"/>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0FD2"/>
    <w:rsid w:val="00DC1611"/>
    <w:rsid w:val="00DC2D5A"/>
    <w:rsid w:val="00DC2FF5"/>
    <w:rsid w:val="00DC331F"/>
    <w:rsid w:val="00DC3F01"/>
    <w:rsid w:val="00DC5E1E"/>
    <w:rsid w:val="00DC6255"/>
    <w:rsid w:val="00DC6531"/>
    <w:rsid w:val="00DC6577"/>
    <w:rsid w:val="00DC684A"/>
    <w:rsid w:val="00DC6E74"/>
    <w:rsid w:val="00DC7714"/>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2CA"/>
    <w:rsid w:val="00DE14E2"/>
    <w:rsid w:val="00DE1997"/>
    <w:rsid w:val="00DE1A38"/>
    <w:rsid w:val="00DE2318"/>
    <w:rsid w:val="00DE2CBB"/>
    <w:rsid w:val="00DE39F5"/>
    <w:rsid w:val="00DE41D7"/>
    <w:rsid w:val="00DE4B4D"/>
    <w:rsid w:val="00DE54FD"/>
    <w:rsid w:val="00DE5802"/>
    <w:rsid w:val="00DE5DB7"/>
    <w:rsid w:val="00DE6792"/>
    <w:rsid w:val="00DE6969"/>
    <w:rsid w:val="00DE7874"/>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DF778A"/>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3C39"/>
    <w:rsid w:val="00E3447C"/>
    <w:rsid w:val="00E34DA2"/>
    <w:rsid w:val="00E355D4"/>
    <w:rsid w:val="00E36E6B"/>
    <w:rsid w:val="00E3770E"/>
    <w:rsid w:val="00E37B10"/>
    <w:rsid w:val="00E40B67"/>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74B1"/>
    <w:rsid w:val="00E475D1"/>
    <w:rsid w:val="00E47985"/>
    <w:rsid w:val="00E47EBF"/>
    <w:rsid w:val="00E50086"/>
    <w:rsid w:val="00E50B28"/>
    <w:rsid w:val="00E514B3"/>
    <w:rsid w:val="00E53047"/>
    <w:rsid w:val="00E538A9"/>
    <w:rsid w:val="00E54A8B"/>
    <w:rsid w:val="00E54C23"/>
    <w:rsid w:val="00E5553D"/>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3AB1"/>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D4"/>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135"/>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4E8"/>
    <w:rsid w:val="00ED7D73"/>
    <w:rsid w:val="00EE0F22"/>
    <w:rsid w:val="00EE1D99"/>
    <w:rsid w:val="00EE3057"/>
    <w:rsid w:val="00EE46E8"/>
    <w:rsid w:val="00EE4A34"/>
    <w:rsid w:val="00EE513A"/>
    <w:rsid w:val="00EE5CC5"/>
    <w:rsid w:val="00EE610E"/>
    <w:rsid w:val="00EE61BC"/>
    <w:rsid w:val="00EE61FE"/>
    <w:rsid w:val="00EE631A"/>
    <w:rsid w:val="00EE6A87"/>
    <w:rsid w:val="00EE79DC"/>
    <w:rsid w:val="00EE7FBF"/>
    <w:rsid w:val="00EF04F9"/>
    <w:rsid w:val="00EF06C8"/>
    <w:rsid w:val="00EF0E9D"/>
    <w:rsid w:val="00EF1323"/>
    <w:rsid w:val="00EF2EEE"/>
    <w:rsid w:val="00EF422B"/>
    <w:rsid w:val="00EF4368"/>
    <w:rsid w:val="00EF4B95"/>
    <w:rsid w:val="00EF4DC4"/>
    <w:rsid w:val="00EF714F"/>
    <w:rsid w:val="00EF77D2"/>
    <w:rsid w:val="00F003F2"/>
    <w:rsid w:val="00F008AA"/>
    <w:rsid w:val="00F00A8C"/>
    <w:rsid w:val="00F010AC"/>
    <w:rsid w:val="00F0159A"/>
    <w:rsid w:val="00F01656"/>
    <w:rsid w:val="00F01777"/>
    <w:rsid w:val="00F01F40"/>
    <w:rsid w:val="00F021B0"/>
    <w:rsid w:val="00F02F17"/>
    <w:rsid w:val="00F03089"/>
    <w:rsid w:val="00F03162"/>
    <w:rsid w:val="00F04321"/>
    <w:rsid w:val="00F0440B"/>
    <w:rsid w:val="00F048E0"/>
    <w:rsid w:val="00F0496B"/>
    <w:rsid w:val="00F04EE7"/>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286"/>
    <w:rsid w:val="00F16D1B"/>
    <w:rsid w:val="00F17370"/>
    <w:rsid w:val="00F176E6"/>
    <w:rsid w:val="00F2007E"/>
    <w:rsid w:val="00F204AC"/>
    <w:rsid w:val="00F20A11"/>
    <w:rsid w:val="00F20D2D"/>
    <w:rsid w:val="00F218CD"/>
    <w:rsid w:val="00F21A12"/>
    <w:rsid w:val="00F21B01"/>
    <w:rsid w:val="00F21D7D"/>
    <w:rsid w:val="00F23B4C"/>
    <w:rsid w:val="00F23FFC"/>
    <w:rsid w:val="00F240E1"/>
    <w:rsid w:val="00F241EC"/>
    <w:rsid w:val="00F242D7"/>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1454"/>
    <w:rsid w:val="00F32C6F"/>
    <w:rsid w:val="00F32E67"/>
    <w:rsid w:val="00F3341D"/>
    <w:rsid w:val="00F3356F"/>
    <w:rsid w:val="00F336E4"/>
    <w:rsid w:val="00F336F3"/>
    <w:rsid w:val="00F33A77"/>
    <w:rsid w:val="00F347AC"/>
    <w:rsid w:val="00F355B5"/>
    <w:rsid w:val="00F3565D"/>
    <w:rsid w:val="00F35E91"/>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0D2B"/>
    <w:rsid w:val="00F616DD"/>
    <w:rsid w:val="00F6273C"/>
    <w:rsid w:val="00F637FB"/>
    <w:rsid w:val="00F642C6"/>
    <w:rsid w:val="00F64901"/>
    <w:rsid w:val="00F6498F"/>
    <w:rsid w:val="00F64F2B"/>
    <w:rsid w:val="00F65201"/>
    <w:rsid w:val="00F65876"/>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22B"/>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6AAB"/>
    <w:rsid w:val="00F96CBE"/>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A6F35"/>
    <w:rsid w:val="00FB0958"/>
    <w:rsid w:val="00FB0E20"/>
    <w:rsid w:val="00FB1B9D"/>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E04"/>
    <w:rsid w:val="00FE4229"/>
    <w:rsid w:val="00FE4345"/>
    <w:rsid w:val="00FE5654"/>
    <w:rsid w:val="00FE64CC"/>
    <w:rsid w:val="00FE667F"/>
    <w:rsid w:val="00FE776F"/>
    <w:rsid w:val="00FE7A29"/>
    <w:rsid w:val="00FE7F96"/>
    <w:rsid w:val="00FF02BA"/>
    <w:rsid w:val="00FF0691"/>
    <w:rsid w:val="00FF088C"/>
    <w:rsid w:val="00FF114D"/>
    <w:rsid w:val="00FF133E"/>
    <w:rsid w:val="00FF1357"/>
    <w:rsid w:val="00FF13D7"/>
    <w:rsid w:val="00FF143B"/>
    <w:rsid w:val="00FF1AA4"/>
    <w:rsid w:val="00FF1EBA"/>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8A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778A"/>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qFormat/>
    <w:rsid w:val="00DF778A"/>
    <w:pPr>
      <w:keepNext/>
      <w:autoSpaceDE w:val="0"/>
      <w:autoSpaceDN w:val="0"/>
      <w:adjustRightInd w:val="0"/>
      <w:spacing w:before="120" w:after="60"/>
      <w:jc w:val="center"/>
      <w:outlineLvl w:val="0"/>
    </w:pPr>
    <w:rPr>
      <w:rFonts w:cs="Arial"/>
      <w:b/>
      <w:bCs/>
      <w:noProof/>
      <w:kern w:val="32"/>
      <w:sz w:val="24"/>
      <w:szCs w:val="24"/>
      <w14:numForm w14:val="default"/>
      <w14:numSpacing w14:val="default"/>
    </w:rPr>
  </w:style>
  <w:style w:type="paragraph" w:styleId="Heading2">
    <w:name w:val="heading 2"/>
    <w:basedOn w:val="Normal"/>
    <w:next w:val="Normal"/>
    <w:link w:val="Heading2Char"/>
    <w:qFormat/>
    <w:rsid w:val="00DF778A"/>
    <w:pPr>
      <w:keepNext/>
      <w:spacing w:before="120"/>
      <w:outlineLvl w:val="1"/>
    </w:pPr>
    <w:rPr>
      <w:b/>
      <w:noProof/>
      <w:sz w:val="24"/>
      <w:szCs w:val="24"/>
      <w14:numForm w14:val="default"/>
      <w14:numSpacing w14:val="default"/>
    </w:rPr>
  </w:style>
  <w:style w:type="paragraph" w:styleId="Heading3">
    <w:name w:val="heading 3"/>
    <w:basedOn w:val="Normal"/>
    <w:next w:val="Normal"/>
    <w:link w:val="Heading3Char"/>
    <w:qFormat/>
    <w:rsid w:val="00DF778A"/>
    <w:pPr>
      <w:keepNext/>
      <w:spacing w:before="120"/>
      <w:outlineLvl w:val="2"/>
    </w:pPr>
    <w:rPr>
      <w:rFonts w:cs="Arial"/>
      <w:b/>
      <w:bCs/>
      <w:i/>
      <w:noProof/>
      <w:sz w:val="22"/>
      <w14:numForm w14:val="default"/>
      <w14:numSpacing w14:val="default"/>
    </w:rPr>
  </w:style>
  <w:style w:type="paragraph" w:styleId="Heading4">
    <w:name w:val="heading 4"/>
    <w:basedOn w:val="Normal"/>
    <w:next w:val="Normal"/>
    <w:rsid w:val="00B74F5A"/>
    <w:pPr>
      <w:keepNext/>
      <w:spacing w:before="120"/>
      <w:outlineLvl w:val="3"/>
    </w:pPr>
    <w:rPr>
      <w:bCs/>
      <w:i/>
      <w:szCs w:val="28"/>
    </w:rPr>
  </w:style>
  <w:style w:type="paragraph" w:styleId="Heading5">
    <w:name w:val="heading 5"/>
    <w:basedOn w:val="Normal"/>
    <w:next w:val="Normal"/>
    <w:link w:val="Heading5Char"/>
    <w:semiHidden/>
    <w:unhideWhenUsed/>
    <w:qFormat/>
    <w:rsid w:val="00DF778A"/>
    <w:pPr>
      <w:keepNext/>
      <w:keepLines/>
      <w:spacing w:before="200"/>
      <w:outlineLvl w:val="4"/>
    </w:pPr>
    <w:rPr>
      <w:rFonts w:asciiTheme="majorHAnsi" w:eastAsiaTheme="majorEastAsia" w:hAnsiTheme="majorHAnsi" w:cstheme="majorBidi"/>
      <w:noProof/>
      <w:color w:val="243F60" w:themeColor="accent1" w:themeShade="7F"/>
      <w14:numForm w14:val="default"/>
      <w14:numSpacing w14:val="default"/>
    </w:rPr>
  </w:style>
  <w:style w:type="paragraph" w:styleId="Heading6">
    <w:name w:val="heading 6"/>
    <w:basedOn w:val="Normal"/>
    <w:next w:val="Normal"/>
    <w:link w:val="Heading6Char"/>
    <w:semiHidden/>
    <w:unhideWhenUsed/>
    <w:qFormat/>
    <w:rsid w:val="00DF778A"/>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DF778A"/>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DF778A"/>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B74F5A"/>
    <w:pPr>
      <w:ind w:left="425" w:hanging="425"/>
      <w:jc w:val="both"/>
    </w:pPr>
  </w:style>
  <w:style w:type="paragraph" w:customStyle="1" w:styleId="Text">
    <w:name w:val="Text"/>
    <w:basedOn w:val="Normal"/>
    <w:link w:val="TextChar"/>
    <w:qFormat/>
    <w:rsid w:val="00DF778A"/>
    <w:pPr>
      <w:suppressAutoHyphens/>
      <w:overflowPunct/>
      <w:spacing w:before="120"/>
      <w:ind w:firstLine="284"/>
      <w:jc w:val="both"/>
      <w:textAlignment w:val="auto"/>
    </w:pPr>
  </w:style>
  <w:style w:type="paragraph" w:customStyle="1" w:styleId="BulletText">
    <w:name w:val="Bullet Text"/>
    <w:basedOn w:val="Text"/>
    <w:qFormat/>
    <w:rsid w:val="00DF778A"/>
    <w:pPr>
      <w:ind w:left="425" w:hanging="425"/>
    </w:pPr>
  </w:style>
  <w:style w:type="paragraph" w:customStyle="1" w:styleId="Bullettextcont">
    <w:name w:val="Bullet text cont"/>
    <w:basedOn w:val="BulletText"/>
    <w:qFormat/>
    <w:rsid w:val="00DF778A"/>
    <w:pPr>
      <w:spacing w:before="0"/>
    </w:pPr>
  </w:style>
  <w:style w:type="character" w:styleId="CommentReference">
    <w:name w:val="annotation reference"/>
    <w:rsid w:val="00B74F5A"/>
    <w:rPr>
      <w:sz w:val="16"/>
      <w:szCs w:val="16"/>
    </w:rPr>
  </w:style>
  <w:style w:type="paragraph" w:styleId="CommentText">
    <w:name w:val="annotation text"/>
    <w:basedOn w:val="Normal"/>
    <w:link w:val="CommentTextChar"/>
    <w:rsid w:val="00B74F5A"/>
  </w:style>
  <w:style w:type="character" w:customStyle="1" w:styleId="CommentTextChar">
    <w:name w:val="Comment Text Char"/>
    <w:link w:val="CommentText"/>
    <w:rsid w:val="00B74F5A"/>
    <w:rPr>
      <w:rFonts w:eastAsia="PMingLiU"/>
      <w:szCs w:val="22"/>
      <w14:numForm w14:val="oldStyle"/>
      <w14:numSpacing w14:val="proportional"/>
    </w:rPr>
  </w:style>
  <w:style w:type="paragraph" w:styleId="CommentSubject">
    <w:name w:val="annotation subject"/>
    <w:basedOn w:val="CommentText"/>
    <w:next w:val="CommentText"/>
    <w:link w:val="CommentSubjectChar"/>
    <w:rsid w:val="00B74F5A"/>
    <w:rPr>
      <w:b/>
      <w:bCs/>
    </w:rPr>
  </w:style>
  <w:style w:type="character" w:customStyle="1" w:styleId="CommentSubjectChar">
    <w:name w:val="Comment Subject Char"/>
    <w:link w:val="CommentSubject"/>
    <w:rsid w:val="00B74F5A"/>
    <w:rPr>
      <w:rFonts w:eastAsia="PMingLiU"/>
      <w:b/>
      <w:bCs/>
      <w:szCs w:val="22"/>
      <w14:numForm w14:val="oldStyle"/>
      <w14:numSpacing w14:val="proportional"/>
    </w:rPr>
  </w:style>
  <w:style w:type="paragraph" w:styleId="EndnoteText">
    <w:name w:val="endnote text"/>
    <w:basedOn w:val="Normal"/>
    <w:link w:val="EndnoteTextChar"/>
    <w:rsid w:val="00B74F5A"/>
    <w:pPr>
      <w:tabs>
        <w:tab w:val="left" w:pos="284"/>
      </w:tabs>
      <w:ind w:left="284" w:hanging="284"/>
    </w:pPr>
    <w:rPr>
      <w:kern w:val="20"/>
      <w:sz w:val="18"/>
    </w:rPr>
  </w:style>
  <w:style w:type="character" w:customStyle="1" w:styleId="EndnoteTextChar">
    <w:name w:val="Endnote Text Char"/>
    <w:link w:val="EndnoteText"/>
    <w:rsid w:val="00B74F5A"/>
    <w:rPr>
      <w:kern w:val="20"/>
      <w:sz w:val="18"/>
      <w:lang w:val="en-US"/>
      <w14:numForm w14:val="oldStyle"/>
      <w14:numSpacing w14:val="proportional"/>
    </w:rPr>
  </w:style>
  <w:style w:type="paragraph" w:styleId="Footer">
    <w:name w:val="footer"/>
    <w:basedOn w:val="Normal"/>
    <w:link w:val="FooterChar"/>
    <w:rsid w:val="00B74F5A"/>
    <w:pPr>
      <w:tabs>
        <w:tab w:val="center" w:pos="4320"/>
        <w:tab w:val="right" w:pos="8640"/>
      </w:tabs>
      <w:spacing w:before="40"/>
    </w:pPr>
    <w:rPr>
      <w:rFonts w:ascii="Calibri" w:hAnsi="Calibri"/>
      <w:sz w:val="18"/>
    </w:rPr>
  </w:style>
  <w:style w:type="character" w:customStyle="1" w:styleId="FooterChar">
    <w:name w:val="Footer Char"/>
    <w:link w:val="Footer"/>
    <w:rsid w:val="00B74F5A"/>
    <w:rPr>
      <w:rFonts w:ascii="Calibri" w:eastAsia="PMingLiU" w:hAnsi="Calibri"/>
      <w:sz w:val="18"/>
      <w:szCs w:val="22"/>
      <w14:numForm w14:val="oldStyle"/>
      <w14:numSpacing w14:val="proportional"/>
    </w:rPr>
  </w:style>
  <w:style w:type="character" w:styleId="FootnoteReference">
    <w:name w:val="footnote reference"/>
    <w:rsid w:val="00B74F5A"/>
    <w:rPr>
      <w:rFonts w:cs="Times New Roman"/>
      <w:noProof w:val="0"/>
      <w:position w:val="2"/>
      <w:vertAlign w:val="superscript"/>
      <w:lang w:val="en-GB"/>
      <w14:numForm w14:val="oldStyle"/>
      <w14:numSpacing w14:val="proportional"/>
    </w:rPr>
  </w:style>
  <w:style w:type="paragraph" w:styleId="FootnoteText">
    <w:name w:val="footnote text"/>
    <w:basedOn w:val="Normal"/>
    <w:link w:val="FootnoteTextChar"/>
    <w:rsid w:val="00F8422B"/>
    <w:pPr>
      <w:keepLines/>
      <w:ind w:left="284" w:hanging="284"/>
      <w:jc w:val="both"/>
    </w:pPr>
    <w:rPr>
      <w:iCs/>
      <w:kern w:val="20"/>
      <w:sz w:val="18"/>
      <w:szCs w:val="18"/>
    </w:rPr>
  </w:style>
  <w:style w:type="character" w:customStyle="1" w:styleId="FootnoteTextChar">
    <w:name w:val="Footnote Text Char"/>
    <w:link w:val="FootnoteText"/>
    <w:rsid w:val="00F8422B"/>
    <w:rPr>
      <w:iCs/>
      <w:kern w:val="20"/>
      <w:sz w:val="18"/>
      <w:szCs w:val="18"/>
      <w14:numForm w14:val="oldStyle"/>
      <w14:numSpacing w14:val="proportional"/>
    </w:rPr>
  </w:style>
  <w:style w:type="paragraph" w:styleId="Header">
    <w:name w:val="header"/>
    <w:basedOn w:val="Normal"/>
    <w:link w:val="HeaderChar"/>
    <w:rsid w:val="00B74F5A"/>
    <w:pPr>
      <w:tabs>
        <w:tab w:val="center" w:pos="4680"/>
        <w:tab w:val="right" w:pos="9360"/>
      </w:tabs>
      <w:spacing w:after="120"/>
    </w:pPr>
    <w:rPr>
      <w:sz w:val="18"/>
    </w:rPr>
  </w:style>
  <w:style w:type="character" w:customStyle="1" w:styleId="HeaderChar">
    <w:name w:val="Header Char"/>
    <w:basedOn w:val="DefaultParagraphFont"/>
    <w:link w:val="Header"/>
    <w:rsid w:val="00B74F5A"/>
    <w:rPr>
      <w:sz w:val="18"/>
      <w14:numForm w14:val="oldStyle"/>
      <w14:numSpacing w14:val="proportional"/>
    </w:rPr>
  </w:style>
  <w:style w:type="character" w:customStyle="1" w:styleId="Heading1Char">
    <w:name w:val="Heading 1 Char"/>
    <w:link w:val="Heading1"/>
    <w:rsid w:val="00DF778A"/>
    <w:rPr>
      <w:rFonts w:ascii="Cambria" w:hAnsi="Cambria" w:cs="Arial"/>
      <w:b/>
      <w:bCs/>
      <w:noProof/>
      <w:kern w:val="32"/>
      <w:sz w:val="24"/>
      <w:szCs w:val="24"/>
    </w:rPr>
  </w:style>
  <w:style w:type="character" w:customStyle="1" w:styleId="Heading2Char">
    <w:name w:val="Heading 2 Char"/>
    <w:basedOn w:val="DefaultParagraphFont"/>
    <w:link w:val="Heading2"/>
    <w:rsid w:val="00DF778A"/>
    <w:rPr>
      <w:rFonts w:ascii="Cambria" w:hAnsi="Cambria"/>
      <w:b/>
      <w:noProof/>
      <w:sz w:val="24"/>
      <w:szCs w:val="24"/>
    </w:rPr>
  </w:style>
  <w:style w:type="character" w:customStyle="1" w:styleId="Heading3Char">
    <w:name w:val="Heading 3 Char"/>
    <w:link w:val="Heading3"/>
    <w:rsid w:val="00DF778A"/>
    <w:rPr>
      <w:rFonts w:ascii="Cambria" w:hAnsi="Cambria" w:cs="Arial"/>
      <w:b/>
      <w:bCs/>
      <w:i/>
      <w:noProof/>
      <w:sz w:val="22"/>
    </w:rPr>
  </w:style>
  <w:style w:type="paragraph" w:customStyle="1" w:styleId="Hidden">
    <w:name w:val="Hidden"/>
    <w:basedOn w:val="Normal"/>
    <w:qFormat/>
    <w:rsid w:val="00DF778A"/>
    <w:rPr>
      <w:vanish/>
      <w:color w:val="FF0000"/>
    </w:rPr>
  </w:style>
  <w:style w:type="paragraph" w:customStyle="1" w:styleId="Myhead">
    <w:name w:val="Myhead"/>
    <w:basedOn w:val="Normal"/>
    <w:rsid w:val="00B74F5A"/>
    <w:pPr>
      <w:keepNext/>
      <w:keepLines/>
      <w:spacing w:before="120"/>
    </w:pPr>
    <w:rPr>
      <w:b/>
    </w:rPr>
  </w:style>
  <w:style w:type="paragraph" w:customStyle="1" w:styleId="Myheadc">
    <w:name w:val="Myheadc"/>
    <w:basedOn w:val="Normal"/>
    <w:rsid w:val="00036C86"/>
    <w:pPr>
      <w:keepNext/>
      <w:keepLines/>
      <w:spacing w:before="120"/>
      <w:jc w:val="center"/>
    </w:pPr>
    <w:rPr>
      <w:b/>
      <w:sz w:val="28"/>
      <w:lang w:eastAsia="en-GB"/>
    </w:rPr>
  </w:style>
  <w:style w:type="character" w:styleId="PlaceholderText">
    <w:name w:val="Placeholder Text"/>
    <w:uiPriority w:val="99"/>
    <w:semiHidden/>
    <w:rsid w:val="00B74F5A"/>
    <w:rPr>
      <w:color w:val="808080"/>
    </w:rPr>
  </w:style>
  <w:style w:type="paragraph" w:customStyle="1" w:styleId="Qref">
    <w:name w:val="Qref"/>
    <w:basedOn w:val="Normal"/>
    <w:rsid w:val="00B74F5A"/>
    <w:pPr>
      <w:jc w:val="right"/>
    </w:pPr>
  </w:style>
  <w:style w:type="paragraph" w:styleId="Quote">
    <w:name w:val="Quote"/>
    <w:basedOn w:val="Normal"/>
    <w:next w:val="Normal"/>
    <w:link w:val="QuoteChar"/>
    <w:qFormat/>
    <w:rsid w:val="00DF778A"/>
    <w:pPr>
      <w:spacing w:before="120"/>
      <w:ind w:left="284"/>
      <w:jc w:val="both"/>
    </w:pPr>
    <w:rPr>
      <w:rFonts w:cstheme="minorBidi"/>
      <w:iCs/>
      <w14:numForm w14:val="default"/>
      <w14:numSpacing w14:val="default"/>
    </w:rPr>
  </w:style>
  <w:style w:type="character" w:customStyle="1" w:styleId="QuoteChar">
    <w:name w:val="Quote Char"/>
    <w:link w:val="Quote"/>
    <w:rsid w:val="00DF778A"/>
    <w:rPr>
      <w:rFonts w:ascii="Cambria" w:hAnsi="Cambria" w:cstheme="minorBidi"/>
      <w:iCs/>
    </w:rPr>
  </w:style>
  <w:style w:type="paragraph" w:customStyle="1" w:styleId="Quotects">
    <w:name w:val="Quotects"/>
    <w:basedOn w:val="Normal"/>
    <w:qFormat/>
    <w:rsid w:val="00DF778A"/>
    <w:pPr>
      <w:ind w:left="284"/>
    </w:pPr>
  </w:style>
  <w:style w:type="paragraph" w:customStyle="1" w:styleId="Ref">
    <w:name w:val="Ref"/>
    <w:basedOn w:val="Normal"/>
    <w:link w:val="RefChar"/>
    <w:rsid w:val="00B74F5A"/>
    <w:pPr>
      <w:tabs>
        <w:tab w:val="left" w:pos="3402"/>
      </w:tabs>
      <w:spacing w:before="120"/>
      <w:ind w:left="1134" w:hanging="1134"/>
      <w:jc w:val="both"/>
    </w:pPr>
  </w:style>
  <w:style w:type="character" w:customStyle="1" w:styleId="RefChar">
    <w:name w:val="Ref Char"/>
    <w:link w:val="Ref"/>
    <w:rsid w:val="00B74F5A"/>
    <w:rPr>
      <w:rFonts w:eastAsia="PMingLiU"/>
      <w:szCs w:val="22"/>
      <w14:numForm w14:val="oldStyle"/>
      <w14:numSpacing w14:val="proportional"/>
    </w:rPr>
  </w:style>
  <w:style w:type="paragraph" w:customStyle="1" w:styleId="Reference">
    <w:name w:val="Reference"/>
    <w:basedOn w:val="Text"/>
    <w:rsid w:val="00B74F5A"/>
    <w:pPr>
      <w:tabs>
        <w:tab w:val="right" w:pos="7450"/>
      </w:tabs>
      <w:spacing w:before="60"/>
      <w:ind w:left="567" w:firstLine="0"/>
    </w:pPr>
    <w:rPr>
      <w:sz w:val="18"/>
    </w:rPr>
  </w:style>
  <w:style w:type="table" w:styleId="TableGrid">
    <w:name w:val="Table Grid"/>
    <w:basedOn w:val="TableNormal"/>
    <w:uiPriority w:val="59"/>
    <w:rsid w:val="00B74F5A"/>
    <w:rPr>
      <w:lang w:val="en-US"/>
    </w:rPr>
    <w:tblPr>
      <w:tblCellMar>
        <w:left w:w="113" w:type="dxa"/>
        <w:right w:w="113" w:type="dxa"/>
      </w:tblCellMar>
    </w:tblPr>
  </w:style>
  <w:style w:type="paragraph" w:customStyle="1" w:styleId="Tabletext">
    <w:name w:val="Table text"/>
    <w:basedOn w:val="Normal"/>
    <w:rsid w:val="00B74F5A"/>
    <w:rPr>
      <w14:numSpacing w14:val="tabular"/>
    </w:rPr>
  </w:style>
  <w:style w:type="paragraph" w:customStyle="1" w:styleId="Textcts">
    <w:name w:val="Textcts"/>
    <w:basedOn w:val="Text"/>
    <w:qFormat/>
    <w:rsid w:val="00DF778A"/>
    <w:pPr>
      <w:spacing w:before="0"/>
      <w:ind w:firstLine="0"/>
    </w:pPr>
    <w:rPr>
      <w:kern w:val="20"/>
    </w:rPr>
  </w:style>
  <w:style w:type="paragraph" w:styleId="TOC1">
    <w:name w:val="toc 1"/>
    <w:basedOn w:val="Normal"/>
    <w:next w:val="Normal"/>
    <w:autoRedefine/>
    <w:uiPriority w:val="39"/>
    <w:unhideWhenUsed/>
    <w:rsid w:val="001845FC"/>
    <w:pPr>
      <w:widowControl/>
      <w:tabs>
        <w:tab w:val="right" w:pos="284"/>
        <w:tab w:val="left" w:pos="425"/>
        <w:tab w:val="right" w:leader="dot" w:pos="6203"/>
        <w:tab w:val="right" w:pos="6594"/>
      </w:tabs>
      <w:kinsoku/>
      <w:overflowPunct/>
      <w:spacing w:before="120"/>
      <w:textAlignment w:val="auto"/>
    </w:pPr>
    <w:rPr>
      <w:rFonts w:eastAsia="Times New Roman"/>
      <w14:numSpacing w14:val="tabular"/>
    </w:rPr>
  </w:style>
  <w:style w:type="paragraph" w:styleId="TOC2">
    <w:name w:val="toc 2"/>
    <w:basedOn w:val="Normal"/>
    <w:next w:val="Normal"/>
    <w:autoRedefine/>
    <w:uiPriority w:val="39"/>
    <w:unhideWhenUsed/>
    <w:rsid w:val="001845FC"/>
    <w:pPr>
      <w:widowControl/>
      <w:tabs>
        <w:tab w:val="right" w:pos="567"/>
        <w:tab w:val="left" w:pos="709"/>
        <w:tab w:val="right" w:leader="dot" w:pos="6203"/>
        <w:tab w:val="right" w:pos="6594"/>
      </w:tabs>
      <w:kinsoku/>
      <w:overflowPunct/>
      <w:textAlignment w:val="auto"/>
    </w:pPr>
    <w:rPr>
      <w:rFonts w:eastAsia="Times New Roman"/>
      <w14:numSpacing w14:val="tabular"/>
    </w:rPr>
  </w:style>
  <w:style w:type="paragraph" w:styleId="TOC3">
    <w:name w:val="toc 3"/>
    <w:basedOn w:val="Normal"/>
    <w:next w:val="Normal"/>
    <w:uiPriority w:val="39"/>
    <w:rsid w:val="00723AE0"/>
    <w:pPr>
      <w:pageBreakBefore/>
      <w:spacing w:line="14" w:lineRule="auto"/>
    </w:pPr>
    <w:rPr>
      <w:i/>
      <w:color w:val="FFFFFF" w:themeColor="background1"/>
      <w:sz w:val="12"/>
      <w14:numSpacing w14:val="tabular"/>
    </w:rPr>
  </w:style>
  <w:style w:type="paragraph" w:styleId="TOC4">
    <w:name w:val="toc 4"/>
    <w:basedOn w:val="Normal"/>
    <w:next w:val="Normal"/>
    <w:uiPriority w:val="39"/>
    <w:rsid w:val="00B74F5A"/>
    <w:pPr>
      <w:tabs>
        <w:tab w:val="right" w:leader="dot" w:pos="7474"/>
      </w:tabs>
      <w:ind w:left="1276"/>
    </w:pPr>
    <w:rPr>
      <w14:numSpacing w14:val="tabular"/>
    </w:rPr>
  </w:style>
  <w:style w:type="character" w:styleId="EndnoteReference">
    <w:name w:val="endnote reference"/>
    <w:uiPriority w:val="99"/>
    <w:rsid w:val="00B74F5A"/>
    <w:rPr>
      <w:noProof w:val="0"/>
      <w:vertAlign w:val="superscript"/>
      <w:lang w:val="en-GB"/>
      <w14:numForm w14:val="oldStyle"/>
      <w14:numSpacing w14:val="proportional"/>
    </w:rPr>
  </w:style>
  <w:style w:type="paragraph" w:customStyle="1" w:styleId="Economistheading">
    <w:name w:val="Economist heading"/>
    <w:basedOn w:val="Normal"/>
    <w:link w:val="EconomistheadingChar"/>
    <w:rsid w:val="00B74F5A"/>
    <w:pPr>
      <w:keepNext/>
      <w:spacing w:before="120"/>
      <w:jc w:val="center"/>
      <w:outlineLvl w:val="1"/>
    </w:pPr>
    <w:rPr>
      <w:b/>
      <w:bCs/>
      <w:color w:val="E3120B"/>
      <w:sz w:val="24"/>
      <w:szCs w:val="36"/>
    </w:rPr>
  </w:style>
  <w:style w:type="character" w:customStyle="1" w:styleId="EconomistheadingChar">
    <w:name w:val="Economist heading Char"/>
    <w:link w:val="Economistheading"/>
    <w:rsid w:val="00B74F5A"/>
    <w:rPr>
      <w:rFonts w:eastAsia="PMingLiU"/>
      <w:b/>
      <w:bCs/>
      <w:color w:val="E3120B"/>
      <w:sz w:val="24"/>
      <w:szCs w:val="36"/>
      <w14:numForm w14:val="oldStyle"/>
      <w14:numSpacing w14:val="proportional"/>
    </w:rPr>
  </w:style>
  <w:style w:type="paragraph" w:styleId="Caption">
    <w:name w:val="caption"/>
    <w:basedOn w:val="Normal"/>
    <w:next w:val="Normal"/>
    <w:unhideWhenUsed/>
    <w:qFormat/>
    <w:rsid w:val="00DF778A"/>
    <w:pPr>
      <w:spacing w:after="200"/>
    </w:pPr>
    <w:rPr>
      <w:b/>
      <w:bCs/>
      <w:color w:val="4F81BD" w:themeColor="accent1"/>
      <w:sz w:val="18"/>
      <w:szCs w:val="18"/>
    </w:rPr>
  </w:style>
  <w:style w:type="character" w:customStyle="1" w:styleId="Heading9Char">
    <w:name w:val="Heading 9 Char"/>
    <w:basedOn w:val="DefaultParagraphFont"/>
    <w:link w:val="Heading9"/>
    <w:semiHidden/>
    <w:rsid w:val="00DF778A"/>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semiHidden/>
    <w:rsid w:val="00DF778A"/>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semiHidden/>
    <w:rsid w:val="00DF778A"/>
    <w:rPr>
      <w:rFonts w:asciiTheme="majorHAnsi" w:eastAsiaTheme="majorEastAsia" w:hAnsiTheme="majorHAnsi" w:cstheme="majorBidi"/>
      <w:noProof/>
      <w:color w:val="243F60" w:themeColor="accent1" w:themeShade="7F"/>
    </w:rPr>
  </w:style>
  <w:style w:type="character" w:customStyle="1" w:styleId="Heading7Char">
    <w:name w:val="Heading 7 Char"/>
    <w:basedOn w:val="DefaultParagraphFont"/>
    <w:link w:val="Heading7"/>
    <w:semiHidden/>
    <w:rsid w:val="00DF778A"/>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DF778A"/>
    <w:pPr>
      <w:ind w:left="709"/>
    </w:pPr>
    <w:rPr>
      <w14:numSpacing w14:val="default"/>
    </w:rPr>
  </w:style>
  <w:style w:type="character" w:customStyle="1" w:styleId="Bullet2Char">
    <w:name w:val="Bullet2 Char"/>
    <w:basedOn w:val="DefaultParagraphFont"/>
    <w:link w:val="Bullet2"/>
    <w:rsid w:val="00DF778A"/>
    <w:rPr>
      <w:rFonts w:ascii="Cambria" w:hAnsi="Cambria"/>
      <w14:numForm w14:val="oldStyle"/>
    </w:rPr>
  </w:style>
  <w:style w:type="paragraph" w:customStyle="1" w:styleId="Bullet2ct">
    <w:name w:val="Bullet2 ct"/>
    <w:basedOn w:val="BulletText"/>
    <w:link w:val="Bullet2ctChar"/>
    <w:qFormat/>
    <w:rsid w:val="00DF778A"/>
    <w:pPr>
      <w:spacing w:before="0"/>
      <w:ind w:left="709"/>
    </w:pPr>
    <w:rPr>
      <w14:numSpacing w14:val="default"/>
    </w:rPr>
  </w:style>
  <w:style w:type="character" w:customStyle="1" w:styleId="Bullet2ctChar">
    <w:name w:val="Bullet2 ct Char"/>
    <w:basedOn w:val="DefaultParagraphFont"/>
    <w:link w:val="Bullet2ct"/>
    <w:rsid w:val="00DF778A"/>
    <w:rPr>
      <w:rFonts w:ascii="Cambria" w:hAnsi="Cambria"/>
      <w14:numForm w14:val="oldStyle"/>
    </w:rPr>
  </w:style>
  <w:style w:type="paragraph" w:customStyle="1" w:styleId="Translit">
    <w:name w:val="Translit"/>
    <w:basedOn w:val="Normal"/>
    <w:link w:val="TranslitChar"/>
    <w:rsid w:val="00D64F1B"/>
    <w:pPr>
      <w:tabs>
        <w:tab w:val="left" w:pos="3260"/>
        <w:tab w:val="left" w:pos="6521"/>
      </w:tabs>
      <w:ind w:left="6521" w:hanging="6521"/>
    </w:pPr>
    <w:rPr>
      <w:rFonts w:eastAsia="PMingLiU"/>
      <w:sz w:val="18"/>
      <w:szCs w:val="18"/>
    </w:rPr>
  </w:style>
  <w:style w:type="character" w:customStyle="1" w:styleId="TranslitChar">
    <w:name w:val="Translit Char"/>
    <w:link w:val="Translit"/>
    <w:rsid w:val="00D64F1B"/>
    <w:rPr>
      <w:rFonts w:eastAsia="PMingLiU"/>
      <w:sz w:val="18"/>
      <w:szCs w:val="18"/>
      <w14:numForm w14:val="oldStyle"/>
      <w14:numSpacing w14:val="proportional"/>
    </w:rPr>
  </w:style>
  <w:style w:type="paragraph" w:customStyle="1" w:styleId="Poetry">
    <w:name w:val="Poetry"/>
    <w:basedOn w:val="Normal"/>
    <w:rsid w:val="00D64F1B"/>
    <w:pPr>
      <w:keepNext/>
      <w:spacing w:before="120"/>
      <w:ind w:left="1418" w:hanging="567"/>
    </w:pPr>
    <w:rPr>
      <w:i/>
    </w:rPr>
  </w:style>
  <w:style w:type="paragraph" w:customStyle="1" w:styleId="Poetrycts">
    <w:name w:val="Poetrycts"/>
    <w:basedOn w:val="Poetry"/>
    <w:rsid w:val="00D64F1B"/>
    <w:pPr>
      <w:keepNext w:val="0"/>
      <w:spacing w:before="0"/>
    </w:pPr>
  </w:style>
  <w:style w:type="paragraph" w:styleId="TOC5">
    <w:name w:val="toc 5"/>
    <w:basedOn w:val="Normal"/>
    <w:next w:val="Normal"/>
    <w:uiPriority w:val="39"/>
    <w:rsid w:val="00B74F5A"/>
    <w:pPr>
      <w:ind w:left="720"/>
    </w:pPr>
    <w:rPr>
      <w:rFonts w:asciiTheme="minorHAnsi" w:hAnsiTheme="minorHAnsi"/>
      <w14:numSpacing w14:val="tabular"/>
    </w:rPr>
  </w:style>
  <w:style w:type="paragraph" w:customStyle="1" w:styleId="EndnoteTextHead">
    <w:name w:val="Endnote Text Head"/>
    <w:basedOn w:val="EndnoteText"/>
    <w:link w:val="EndnoteTextHeadChar"/>
    <w:rsid w:val="00B74F5A"/>
    <w:pPr>
      <w:keepNext/>
      <w:spacing w:before="60" w:after="20"/>
    </w:pPr>
    <w:rPr>
      <w:b/>
      <w:bCs/>
    </w:rPr>
  </w:style>
  <w:style w:type="character" w:customStyle="1" w:styleId="EndnoteTextHeadChar">
    <w:name w:val="Endnote Text Head Char"/>
    <w:basedOn w:val="EndnoteTextChar"/>
    <w:link w:val="EndnoteTextHead"/>
    <w:rsid w:val="00B74F5A"/>
    <w:rPr>
      <w:b/>
      <w:bCs/>
      <w:kern w:val="20"/>
      <w:sz w:val="18"/>
      <w:lang w:val="en-US"/>
      <w14:numForm w14:val="oldStyle"/>
      <w14:numSpacing w14:val="proportional"/>
    </w:rPr>
  </w:style>
  <w:style w:type="paragraph" w:customStyle="1" w:styleId="Textleftn">
    <w:name w:val="Text_leftn"/>
    <w:basedOn w:val="Normal"/>
    <w:link w:val="TextleftnChar"/>
    <w:rsid w:val="004B3F78"/>
    <w:pPr>
      <w:tabs>
        <w:tab w:val="left" w:pos="284"/>
      </w:tabs>
      <w:spacing w:before="120"/>
      <w:ind w:hanging="284"/>
      <w:jc w:val="both"/>
    </w:pPr>
  </w:style>
  <w:style w:type="character" w:customStyle="1" w:styleId="TextleftnChar">
    <w:name w:val="Text_leftn Char"/>
    <w:basedOn w:val="DefaultParagraphFont"/>
    <w:link w:val="Textleftn"/>
    <w:rsid w:val="004B3F78"/>
    <w:rPr>
      <w:rFonts w:eastAsia="PMingLiU"/>
      <w:szCs w:val="22"/>
      <w14:numForm w14:val="oldStyle"/>
      <w14:numSpacing w14:val="proportional"/>
    </w:rPr>
  </w:style>
  <w:style w:type="paragraph" w:customStyle="1" w:styleId="Textrightn">
    <w:name w:val="Text_rightn"/>
    <w:basedOn w:val="Textleftn"/>
    <w:link w:val="TextrightnChar"/>
    <w:rsid w:val="00D64F1B"/>
    <w:pPr>
      <w:tabs>
        <w:tab w:val="right" w:pos="5812"/>
      </w:tabs>
      <w:suppressAutoHyphens/>
      <w:ind w:left="851"/>
    </w:pPr>
    <w:rPr>
      <w:rFonts w:eastAsia="PMingLiU"/>
      <w:szCs w:val="22"/>
    </w:rPr>
  </w:style>
  <w:style w:type="character" w:customStyle="1" w:styleId="TextrightnChar">
    <w:name w:val="Text_rightn Char"/>
    <w:basedOn w:val="TextleftnChar"/>
    <w:link w:val="Textrightn"/>
    <w:rsid w:val="00D64F1B"/>
    <w:rPr>
      <w:rFonts w:eastAsia="PMingLiU"/>
      <w:szCs w:val="22"/>
      <w14:numForm w14:val="oldStyle"/>
      <w14:numSpacing w14:val="proportional"/>
    </w:rPr>
  </w:style>
  <w:style w:type="character" w:customStyle="1" w:styleId="TextChar">
    <w:name w:val="Text Char"/>
    <w:basedOn w:val="DefaultParagraphFont"/>
    <w:link w:val="Text"/>
    <w:rsid w:val="00D64F1B"/>
    <w:rPr>
      <w:rFonts w:ascii="Cambria" w:hAnsi="Cambria"/>
      <w14:numForm w14:val="oldStyle"/>
      <w14:numSpacing w14:val="proportional"/>
    </w:rPr>
  </w:style>
  <w:style w:type="paragraph" w:customStyle="1" w:styleId="Rodwell">
    <w:name w:val="Rodwell"/>
    <w:basedOn w:val="Normal"/>
    <w:link w:val="RodwellChar"/>
    <w:rsid w:val="00D64F1B"/>
    <w:pPr>
      <w:tabs>
        <w:tab w:val="left" w:pos="284"/>
      </w:tabs>
      <w:spacing w:before="120"/>
      <w:ind w:left="567" w:hanging="567"/>
      <w:jc w:val="both"/>
    </w:pPr>
    <w:rPr>
      <w:rFonts w:eastAsia="PMingLiU"/>
      <w:sz w:val="18"/>
      <w:szCs w:val="22"/>
    </w:rPr>
  </w:style>
  <w:style w:type="character" w:customStyle="1" w:styleId="RodwellChar">
    <w:name w:val="Rodwell Char"/>
    <w:basedOn w:val="DefaultParagraphFont"/>
    <w:link w:val="Rodwell"/>
    <w:rsid w:val="00D64F1B"/>
    <w:rPr>
      <w:rFonts w:eastAsia="PMingLiU"/>
      <w:sz w:val="18"/>
      <w:szCs w:val="22"/>
      <w14:numForm w14:val="oldStyle"/>
      <w14:numSpacing w14:val="proportional"/>
    </w:rPr>
  </w:style>
  <w:style w:type="paragraph" w:customStyle="1" w:styleId="Rodwellcts">
    <w:name w:val="Rodwellcts"/>
    <w:basedOn w:val="Rodwell"/>
    <w:link w:val="RodwellctsChar"/>
    <w:rsid w:val="00D64F1B"/>
    <w:pPr>
      <w:spacing w:before="0"/>
    </w:pPr>
  </w:style>
  <w:style w:type="character" w:customStyle="1" w:styleId="RodwellctsChar">
    <w:name w:val="Rodwellcts Char"/>
    <w:basedOn w:val="RodwellChar"/>
    <w:link w:val="Rodwellcts"/>
    <w:rsid w:val="00D64F1B"/>
    <w:rPr>
      <w:rFonts w:eastAsia="PMingLiU"/>
      <w:sz w:val="18"/>
      <w:szCs w:val="22"/>
      <w14:numForm w14:val="oldStyle"/>
      <w14:numSpacing w14:val="proportional"/>
    </w:rPr>
  </w:style>
  <w:style w:type="paragraph" w:customStyle="1" w:styleId="Myhead3">
    <w:name w:val="Myhead3"/>
    <w:basedOn w:val="Normal"/>
    <w:rsid w:val="00B74F5A"/>
    <w:pPr>
      <w:spacing w:before="120"/>
      <w:jc w:val="both"/>
    </w:pPr>
    <w:rPr>
      <w:b/>
      <w:i/>
      <w:color w:val="000000" w:themeColor="text1"/>
      <w:lang w:eastAsia="en-GB"/>
    </w:rPr>
  </w:style>
  <w:style w:type="paragraph" w:styleId="TOC6">
    <w:name w:val="toc 6"/>
    <w:basedOn w:val="Normal"/>
    <w:next w:val="Normal"/>
    <w:autoRedefine/>
    <w:uiPriority w:val="39"/>
    <w:rsid w:val="00B74F5A"/>
    <w:pPr>
      <w:tabs>
        <w:tab w:val="left" w:leader="dot" w:pos="6980"/>
        <w:tab w:val="right" w:pos="7371"/>
      </w:tabs>
      <w:ind w:left="1418"/>
    </w:pPr>
    <w:rPr>
      <w14:numSpacing w14:val="tabular"/>
    </w:rPr>
  </w:style>
  <w:style w:type="paragraph" w:styleId="Bibliography">
    <w:name w:val="Bibliography"/>
    <w:basedOn w:val="Normal"/>
    <w:next w:val="Normal"/>
    <w:rsid w:val="00B74F5A"/>
    <w:pPr>
      <w:tabs>
        <w:tab w:val="left" w:pos="284"/>
        <w:tab w:val="left" w:pos="567"/>
      </w:tabs>
      <w:ind w:left="284" w:hanging="284"/>
      <w:jc w:val="both"/>
    </w:pPr>
    <w:rPr>
      <w:sz w:val="18"/>
    </w:rPr>
  </w:style>
  <w:style w:type="paragraph" w:styleId="BodyText">
    <w:name w:val="Body Text"/>
    <w:basedOn w:val="Normal"/>
    <w:link w:val="BodyTextChar"/>
    <w:uiPriority w:val="1"/>
    <w:rsid w:val="004165B2"/>
  </w:style>
  <w:style w:type="character" w:customStyle="1" w:styleId="BodyTextChar">
    <w:name w:val="Body Text Char"/>
    <w:basedOn w:val="DefaultParagraphFont"/>
    <w:link w:val="BodyText"/>
    <w:uiPriority w:val="1"/>
    <w:rsid w:val="004165B2"/>
    <w:rPr>
      <w:rFonts w:ascii="Times New Roman" w:eastAsia="Times New Roman" w:hAnsi="Times New Roman"/>
      <w:lang w:val="en-US"/>
    </w:rPr>
  </w:style>
  <w:style w:type="paragraph" w:styleId="ListParagraph">
    <w:name w:val="List Paragraph"/>
    <w:basedOn w:val="Normal"/>
    <w:uiPriority w:val="1"/>
    <w:rsid w:val="004165B2"/>
  </w:style>
  <w:style w:type="paragraph" w:customStyle="1" w:styleId="TableParagraph">
    <w:name w:val="Table Paragraph"/>
    <w:basedOn w:val="Normal"/>
    <w:uiPriority w:val="1"/>
    <w:rsid w:val="004165B2"/>
  </w:style>
  <w:style w:type="paragraph" w:styleId="BalloonText">
    <w:name w:val="Balloon Text"/>
    <w:basedOn w:val="Normal"/>
    <w:link w:val="BalloonTextChar"/>
    <w:uiPriority w:val="99"/>
    <w:unhideWhenUsed/>
    <w:rsid w:val="004165B2"/>
    <w:rPr>
      <w:rFonts w:ascii="Tahoma" w:hAnsi="Tahoma" w:cs="Tahoma"/>
      <w:sz w:val="16"/>
      <w:szCs w:val="16"/>
    </w:rPr>
  </w:style>
  <w:style w:type="character" w:customStyle="1" w:styleId="BalloonTextChar">
    <w:name w:val="Balloon Text Char"/>
    <w:basedOn w:val="DefaultParagraphFont"/>
    <w:link w:val="BalloonText"/>
    <w:uiPriority w:val="99"/>
    <w:rsid w:val="004165B2"/>
    <w:rPr>
      <w:rFonts w:ascii="Tahoma" w:eastAsia="Times New Roman" w:hAnsi="Tahoma" w:cs="Tahoma"/>
      <w:sz w:val="16"/>
      <w:szCs w:val="16"/>
      <w:lang w:val="en-US"/>
    </w:rPr>
  </w:style>
  <w:style w:type="character" w:styleId="Hyperlink">
    <w:name w:val="Hyperlink"/>
    <w:basedOn w:val="DefaultParagraphFont"/>
    <w:uiPriority w:val="99"/>
    <w:unhideWhenUsed/>
    <w:rsid w:val="004165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79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5150</Words>
  <Characters>29360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2022-08-27T23:03:00Z</dcterms:created>
  <dcterms:modified xsi:type="dcterms:W3CDTF">2022-11-07T04:51:00Z</dcterms:modified>
</cp:coreProperties>
</file>