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A3FA" w14:textId="406C293C" w:rsidR="00CE05D7" w:rsidRPr="00FD6A6E" w:rsidRDefault="00CE05D7" w:rsidP="002C584E">
      <w:pPr>
        <w:spacing w:line="480" w:lineRule="auto"/>
        <w:jc w:val="center"/>
      </w:pPr>
      <w:r w:rsidRPr="00FD6A6E">
        <w:rPr>
          <w:b/>
        </w:rPr>
        <w:t>Tahirih: A Theology in Poetry</w:t>
      </w:r>
    </w:p>
    <w:p w14:paraId="2BB1AA21" w14:textId="1076B512" w:rsidR="00CE05D7" w:rsidRDefault="00CE05D7" w:rsidP="002C584E">
      <w:pPr>
        <w:spacing w:line="480" w:lineRule="auto"/>
        <w:jc w:val="center"/>
      </w:pPr>
      <w:r w:rsidRPr="00FD6A6E">
        <w:t>by Anthony A. Lee, Ph.D.</w:t>
      </w:r>
    </w:p>
    <w:p w14:paraId="2443AB15" w14:textId="5FD758EF" w:rsidR="002C584E" w:rsidRDefault="002C584E" w:rsidP="002C584E">
      <w:pPr>
        <w:spacing w:line="480" w:lineRule="auto"/>
        <w:jc w:val="center"/>
      </w:pPr>
      <w:r>
        <w:t>2016</w:t>
      </w:r>
    </w:p>
    <w:p w14:paraId="637BB88A" w14:textId="2BD5B421" w:rsidR="002C584E" w:rsidRPr="002C584E" w:rsidRDefault="002C584E" w:rsidP="002C584E">
      <w:pPr>
        <w:spacing w:line="480" w:lineRule="auto"/>
        <w:jc w:val="center"/>
        <w:rPr>
          <w:i/>
        </w:rPr>
      </w:pPr>
      <w:r w:rsidRPr="002C584E">
        <w:rPr>
          <w:i/>
        </w:rPr>
        <w:t>see http://irfancolloquia.org/137/lee_tahirih</w:t>
      </w:r>
    </w:p>
    <w:p w14:paraId="59D874A6" w14:textId="77777777" w:rsidR="00CE05D7" w:rsidRPr="00FD6A6E" w:rsidRDefault="00CE05D7" w:rsidP="00BC1729">
      <w:pPr>
        <w:spacing w:line="480" w:lineRule="auto"/>
      </w:pPr>
      <w:r w:rsidRPr="00FD6A6E">
        <w:t>__________________________________________________</w:t>
      </w:r>
      <w:r w:rsidR="003F283B" w:rsidRPr="00FD6A6E">
        <w:br/>
      </w:r>
    </w:p>
    <w:p w14:paraId="5FFFFB24" w14:textId="77777777" w:rsidR="003F283B" w:rsidRPr="00FD6A6E" w:rsidRDefault="00172EC9" w:rsidP="003F283B">
      <w:pPr>
        <w:spacing w:line="480" w:lineRule="auto"/>
      </w:pPr>
      <w:r w:rsidRPr="00FD6A6E">
        <w:t>She is known universally to Baha’is as Tahirih</w:t>
      </w:r>
      <w:r w:rsidR="00BC1729" w:rsidRPr="00FD6A6E">
        <w:t xml:space="preserve"> (1814-1852)</w:t>
      </w:r>
      <w:r w:rsidRPr="00FD6A6E">
        <w:t xml:space="preserve">.  But </w:t>
      </w:r>
      <w:r w:rsidR="00BC1729" w:rsidRPr="00FD6A6E">
        <w:t xml:space="preserve">she </w:t>
      </w:r>
      <w:r w:rsidR="003F283B" w:rsidRPr="00FD6A6E">
        <w:t>w</w:t>
      </w:r>
      <w:r w:rsidR="00BC1729" w:rsidRPr="00FD6A6E">
        <w:t xml:space="preserve">as given the name Fatimih at birth.  She is also known as Umm </w:t>
      </w:r>
      <w:proofErr w:type="spellStart"/>
      <w:r w:rsidR="00BC1729" w:rsidRPr="00FD6A6E">
        <w:t>Salamih</w:t>
      </w:r>
      <w:proofErr w:type="spellEnd"/>
      <w:r w:rsidR="00BC1729" w:rsidRPr="00FD6A6E">
        <w:t xml:space="preserve">, </w:t>
      </w:r>
      <w:proofErr w:type="spellStart"/>
      <w:r w:rsidR="00502B90" w:rsidRPr="00FD6A6E">
        <w:t>Zarrin-Taj</w:t>
      </w:r>
      <w:proofErr w:type="spellEnd"/>
      <w:r w:rsidR="00502B90" w:rsidRPr="00FD6A6E">
        <w:t xml:space="preserve"> (Crown of Gold),</w:t>
      </w:r>
      <w:r w:rsidR="00BC1729" w:rsidRPr="00FD6A6E">
        <w:t xml:space="preserve"> and most commonly as Qurratu’l-Ayn (Solace of the Eyes).  </w:t>
      </w:r>
      <w:r w:rsidR="003F283B" w:rsidRPr="00FD6A6E">
        <w:t xml:space="preserve">She is certainly the most well known woman in Baha’i history, and the most controversial.  ‘Abdu’l-Baha recognizes her as a saint by introducing her with these words in </w:t>
      </w:r>
      <w:r w:rsidR="003F283B" w:rsidRPr="00FD6A6E">
        <w:rPr>
          <w:i/>
        </w:rPr>
        <w:t>Memorials of the Faithful</w:t>
      </w:r>
      <w:r w:rsidR="003F283B" w:rsidRPr="00FD6A6E">
        <w:t>: “A woman chaste and holy, a sign and token of surpassing beauty, a burning brand of the love of God, a lamp of His bestowal, was Jinab-i-Tahirih.”</w:t>
      </w:r>
      <w:r w:rsidR="003F283B" w:rsidRPr="00FD6A6E">
        <w:rPr>
          <w:rStyle w:val="FootnoteReference"/>
        </w:rPr>
        <w:footnoteReference w:id="1"/>
      </w:r>
    </w:p>
    <w:p w14:paraId="7A527110" w14:textId="77777777" w:rsidR="003F283B" w:rsidRPr="00FD6A6E" w:rsidRDefault="003F283B" w:rsidP="003F283B">
      <w:pPr>
        <w:spacing w:line="480" w:lineRule="auto"/>
      </w:pPr>
      <w:r w:rsidRPr="00FD6A6E">
        <w:tab/>
      </w:r>
      <w:r w:rsidR="00236523" w:rsidRPr="00FD6A6E">
        <w:t xml:space="preserve">Yet, Tahirih stands in stark contrast in Baha’i history and Baha’i imagination to the other women who are thought of as holy figures in Baha’i </w:t>
      </w:r>
      <w:r w:rsidR="004E5976" w:rsidRPr="00FD6A6E">
        <w:t>history</w:t>
      </w:r>
      <w:r w:rsidR="00236523" w:rsidRPr="00FD6A6E">
        <w:t>.  Pe</w:t>
      </w:r>
      <w:bookmarkStart w:id="0" w:name="_GoBack"/>
      <w:bookmarkEnd w:id="0"/>
      <w:r w:rsidR="00236523" w:rsidRPr="00FD6A6E">
        <w:t xml:space="preserve">rhaps, the premier woman in Baha’i </w:t>
      </w:r>
      <w:r w:rsidR="004E5976" w:rsidRPr="00FD6A6E">
        <w:t>theology</w:t>
      </w:r>
      <w:r w:rsidR="00236523" w:rsidRPr="00FD6A6E">
        <w:t xml:space="preserve"> would be Bahiyyih Khanum (1846-1932), the daughter of Baha’u’llah</w:t>
      </w:r>
      <w:r w:rsidR="006B073A" w:rsidRPr="00FD6A6E">
        <w:t>, known as the Greatest Holy Leaf</w:t>
      </w:r>
      <w:r w:rsidR="00236523" w:rsidRPr="00FD6A6E">
        <w:t xml:space="preserve">.  She played a crucial role in the Baha’i community after the passing of ‘Abdu’l-Baha (1844-1921).  But yet, she remained </w:t>
      </w:r>
      <w:r w:rsidR="006B073A" w:rsidRPr="00FD6A6E">
        <w:t>for most of her life</w:t>
      </w:r>
      <w:r w:rsidR="00236523" w:rsidRPr="00FD6A6E">
        <w:t xml:space="preserve"> in traditional, gendered roles, overshadowed by her brother, ‘Abdu’l-Baha, and by the Guardian of the Faith, Shoghi Effendi (1897-1957)</w:t>
      </w:r>
      <w:r w:rsidR="004E5976" w:rsidRPr="00FD6A6E">
        <w:t>, her grandnephew</w:t>
      </w:r>
      <w:r w:rsidR="00236523" w:rsidRPr="00FD6A6E">
        <w:t>.  Similarly, Khadijih Bagum</w:t>
      </w:r>
      <w:r w:rsidR="006B073A" w:rsidRPr="00FD6A6E">
        <w:t xml:space="preserve"> (d. 1882)</w:t>
      </w:r>
      <w:r w:rsidR="00236523" w:rsidRPr="00FD6A6E">
        <w:t xml:space="preserve">, the wife of the Bab; </w:t>
      </w:r>
      <w:proofErr w:type="spellStart"/>
      <w:r w:rsidR="00236523" w:rsidRPr="00FD6A6E">
        <w:t>Asiyyih</w:t>
      </w:r>
      <w:proofErr w:type="spellEnd"/>
      <w:r w:rsidR="00236523" w:rsidRPr="00FD6A6E">
        <w:t xml:space="preserve"> Khanum</w:t>
      </w:r>
      <w:r w:rsidR="006B073A" w:rsidRPr="00FD6A6E">
        <w:t>, Navvab (1820-1886)</w:t>
      </w:r>
      <w:r w:rsidR="00236523" w:rsidRPr="00FD6A6E">
        <w:t>, the wife of Baha’u’llah; and Munirih Khanum</w:t>
      </w:r>
      <w:r w:rsidR="006B073A" w:rsidRPr="00FD6A6E">
        <w:t xml:space="preserve"> (1847-1938)</w:t>
      </w:r>
      <w:r w:rsidR="007314F1" w:rsidRPr="00FD6A6E">
        <w:t>, wife of ‘Abdu’l-Baha</w:t>
      </w:r>
      <w:r w:rsidR="00236523" w:rsidRPr="00FD6A6E">
        <w:t>—all regarded as holy women—</w:t>
      </w:r>
      <w:r w:rsidR="007314F1" w:rsidRPr="00FD6A6E">
        <w:t>are revered, but remain</w:t>
      </w:r>
      <w:r w:rsidR="00236523" w:rsidRPr="00FD6A6E">
        <w:t xml:space="preserve"> confined to traditional roles</w:t>
      </w:r>
      <w:r w:rsidR="000C02A2" w:rsidRPr="00FD6A6E">
        <w:t xml:space="preserve"> in Baha’i history and in Baha’i imagination</w:t>
      </w:r>
      <w:r w:rsidR="00236523" w:rsidRPr="00FD6A6E">
        <w:t xml:space="preserve">.  </w:t>
      </w:r>
    </w:p>
    <w:p w14:paraId="47C85C9C" w14:textId="77777777" w:rsidR="00CE05D7" w:rsidRPr="00FD6A6E" w:rsidRDefault="006B073A" w:rsidP="00BC1729">
      <w:pPr>
        <w:spacing w:line="480" w:lineRule="auto"/>
      </w:pPr>
      <w:r w:rsidRPr="00FD6A6E">
        <w:lastRenderedPageBreak/>
        <w:tab/>
        <w:t xml:space="preserve">Tahirih stands apart from these other holy </w:t>
      </w:r>
      <w:r w:rsidR="00F17854" w:rsidRPr="00FD6A6E">
        <w:t>women</w:t>
      </w:r>
      <w:r w:rsidRPr="00FD6A6E">
        <w:t xml:space="preserve">, since she discarded her traditional roles as </w:t>
      </w:r>
      <w:r w:rsidR="007314F1" w:rsidRPr="00FD6A6E">
        <w:t xml:space="preserve">daughter, </w:t>
      </w:r>
      <w:r w:rsidRPr="00FD6A6E">
        <w:t xml:space="preserve">wife and mother, invaded male space, and became an actor </w:t>
      </w:r>
      <w:r w:rsidR="00F17854" w:rsidRPr="00FD6A6E">
        <w:t xml:space="preserve">and a leader </w:t>
      </w:r>
      <w:r w:rsidR="000C02A2" w:rsidRPr="00FD6A6E">
        <w:t xml:space="preserve">of the </w:t>
      </w:r>
      <w:r w:rsidR="007314F1" w:rsidRPr="00FD6A6E">
        <w:t xml:space="preserve">Babi </w:t>
      </w:r>
      <w:r w:rsidR="000C02A2" w:rsidRPr="00FD6A6E">
        <w:t xml:space="preserve">community </w:t>
      </w:r>
      <w:r w:rsidRPr="00FD6A6E">
        <w:t xml:space="preserve">in her own right.  </w:t>
      </w:r>
      <w:r w:rsidR="00F17854" w:rsidRPr="00FD6A6E">
        <w:t>As Susan Maneck has</w:t>
      </w:r>
      <w:r w:rsidR="000C02A2" w:rsidRPr="00FD6A6E">
        <w:t xml:space="preserve"> noted, she presents the Baha’is </w:t>
      </w:r>
      <w:r w:rsidR="00F17854" w:rsidRPr="00FD6A6E">
        <w:t xml:space="preserve">with a paradigm of the ideal woman who is </w:t>
      </w:r>
      <w:r w:rsidR="008E71ED" w:rsidRPr="00FD6A6E">
        <w:t xml:space="preserve">“assertive, intelligent, eloquent, passionately devoted to causes, and yet, still beautiful.” </w:t>
      </w:r>
      <w:r w:rsidR="008E71ED" w:rsidRPr="00FD6A6E">
        <w:rPr>
          <w:rStyle w:val="FootnoteReference"/>
        </w:rPr>
        <w:footnoteReference w:id="2"/>
      </w:r>
      <w:r w:rsidR="008E71ED" w:rsidRPr="00FD6A6E">
        <w:t xml:space="preserve">  But this paradigm is problematic because Tahirih was also rebellious, </w:t>
      </w:r>
      <w:proofErr w:type="spellStart"/>
      <w:r w:rsidR="008E71ED" w:rsidRPr="00FD6A6E">
        <w:t>transgressive</w:t>
      </w:r>
      <w:proofErr w:type="spellEnd"/>
      <w:r w:rsidR="008E71ED" w:rsidRPr="00FD6A6E">
        <w:t>, liberated from husband and ch</w:t>
      </w:r>
      <w:r w:rsidR="000C02A2" w:rsidRPr="00FD6A6E">
        <w:t>ildren, deliberately outrageous</w:t>
      </w:r>
      <w:r w:rsidR="00502B90" w:rsidRPr="00FD6A6E">
        <w:t>,</w:t>
      </w:r>
      <w:r w:rsidR="008E71ED" w:rsidRPr="00FD6A6E">
        <w:t xml:space="preserve"> and confrontational.  As a result, Tahirih remains something of an enigma.  Her public actions, radical as they were, are celebrated</w:t>
      </w:r>
      <w:r w:rsidR="000C02A2" w:rsidRPr="00FD6A6E">
        <w:t xml:space="preserve"> by Baha’is</w:t>
      </w:r>
      <w:r w:rsidR="008E71ED" w:rsidRPr="00FD6A6E">
        <w:t xml:space="preserve">.  But her family life and personal choices are ignored.  Her radical theology remains unexplored.  </w:t>
      </w:r>
    </w:p>
    <w:p w14:paraId="6C95B8CA" w14:textId="77777777" w:rsidR="008E71ED" w:rsidRPr="00FD6A6E" w:rsidRDefault="00BB3EFD" w:rsidP="00BC1729">
      <w:pPr>
        <w:spacing w:line="480" w:lineRule="auto"/>
      </w:pPr>
      <w:r w:rsidRPr="00FD6A6E">
        <w:tab/>
        <w:t xml:space="preserve">Tahirih was born into a prominent clerical family in Qazvin, in Iran.  Her father was the head of a religious college in that city.  She was formally and highly educated, </w:t>
      </w:r>
      <w:r w:rsidR="009A6120" w:rsidRPr="00FD6A6E">
        <w:t>as</w:t>
      </w:r>
      <w:r w:rsidRPr="00FD6A6E">
        <w:t xml:space="preserve"> was her mother, and her grandmother.  She obtain</w:t>
      </w:r>
      <w:r w:rsidR="001108EA" w:rsidRPr="00FD6A6E">
        <w:t>ed</w:t>
      </w:r>
      <w:r w:rsidRPr="00FD6A6E">
        <w:t xml:space="preserve"> a considerable reputation for learning and scholarship, even as a young student.  </w:t>
      </w:r>
      <w:r w:rsidR="007314F1" w:rsidRPr="00FD6A6E">
        <w:t>Married</w:t>
      </w:r>
      <w:r w:rsidRPr="00FD6A6E">
        <w:t xml:space="preserve"> to her cousin at the age of 14, </w:t>
      </w:r>
      <w:r w:rsidR="007314F1" w:rsidRPr="00FD6A6E">
        <w:t xml:space="preserve">Tahirih continued her studies after </w:t>
      </w:r>
      <w:r w:rsidRPr="00FD6A6E">
        <w:t>their move to Karbila.</w:t>
      </w:r>
      <w:r w:rsidR="001108EA" w:rsidRPr="00FD6A6E">
        <w:t xml:space="preserve">  She pursued and obtained a full education in higher Islamic studies, though she was unable to receive the customary certificates of completion (</w:t>
      </w:r>
      <w:proofErr w:type="spellStart"/>
      <w:r w:rsidR="001108EA" w:rsidRPr="00FD6A6E">
        <w:rPr>
          <w:i/>
        </w:rPr>
        <w:t>ijazih</w:t>
      </w:r>
      <w:proofErr w:type="spellEnd"/>
      <w:r w:rsidR="001108EA" w:rsidRPr="00FD6A6E">
        <w:t xml:space="preserve">) that a man of her </w:t>
      </w:r>
      <w:r w:rsidR="007314F1" w:rsidRPr="00FD6A6E">
        <w:t xml:space="preserve">level of </w:t>
      </w:r>
      <w:r w:rsidR="001108EA" w:rsidRPr="00FD6A6E">
        <w:t>learning would have received.</w:t>
      </w:r>
      <w:r w:rsidR="009A6120" w:rsidRPr="00FD6A6E">
        <w:rPr>
          <w:rStyle w:val="FootnoteReference"/>
        </w:rPr>
        <w:footnoteReference w:id="3"/>
      </w:r>
      <w:r w:rsidR="001108EA" w:rsidRPr="00FD6A6E">
        <w:t xml:space="preserve">  </w:t>
      </w:r>
    </w:p>
    <w:p w14:paraId="46DF21B5" w14:textId="77777777" w:rsidR="00283655" w:rsidRPr="00FD6A6E" w:rsidRDefault="001108EA" w:rsidP="00BC1729">
      <w:pPr>
        <w:spacing w:line="480" w:lineRule="auto"/>
      </w:pPr>
      <w:r w:rsidRPr="00FD6A6E">
        <w:tab/>
        <w:t>As a Babi, Tahirih wrote many learned treatises in defense of the Bab and Babi doctrines.  In these she makes use of the traditional conventions of Islamic jurisprudence and theology.  Amin Banani, in the preface to his translation of a sel</w:t>
      </w:r>
      <w:r w:rsidR="007314F1" w:rsidRPr="00FD6A6E">
        <w:t xml:space="preserve">ection of </w:t>
      </w:r>
      <w:proofErr w:type="spellStart"/>
      <w:r w:rsidR="007314F1" w:rsidRPr="00FD6A6E">
        <w:t>Tahirih’s</w:t>
      </w:r>
      <w:proofErr w:type="spellEnd"/>
      <w:r w:rsidR="007314F1" w:rsidRPr="00FD6A6E">
        <w:t xml:space="preserve"> poems, make</w:t>
      </w:r>
      <w:r w:rsidR="009A6120" w:rsidRPr="00FD6A6E">
        <w:t>s</w:t>
      </w:r>
      <w:r w:rsidR="007314F1" w:rsidRPr="00FD6A6E">
        <w:t xml:space="preserve"> </w:t>
      </w:r>
      <w:r w:rsidRPr="00FD6A6E">
        <w:t xml:space="preserve">a distinction between </w:t>
      </w:r>
      <w:proofErr w:type="spellStart"/>
      <w:r w:rsidR="009A6120" w:rsidRPr="00FD6A6E">
        <w:t>Tahirih’s</w:t>
      </w:r>
      <w:proofErr w:type="spellEnd"/>
      <w:r w:rsidRPr="00FD6A6E">
        <w:t xml:space="preserve"> learned dissertations and her poetic voice</w:t>
      </w:r>
      <w:r w:rsidR="00283655" w:rsidRPr="00FD6A6E">
        <w:t>.  He writes:</w:t>
      </w:r>
    </w:p>
    <w:p w14:paraId="791CEE33" w14:textId="77777777" w:rsidR="00B53CAD" w:rsidRPr="00FD6A6E" w:rsidRDefault="00B53CAD" w:rsidP="00283655">
      <w:pPr>
        <w:ind w:left="720"/>
        <w:rPr>
          <w:sz w:val="20"/>
          <w:szCs w:val="20"/>
        </w:rPr>
      </w:pPr>
    </w:p>
    <w:p w14:paraId="65EB0560" w14:textId="77777777" w:rsidR="00B53CAD" w:rsidRPr="00FD6A6E" w:rsidRDefault="00283655" w:rsidP="00502B90">
      <w:pPr>
        <w:spacing w:line="276" w:lineRule="auto"/>
        <w:ind w:left="720"/>
        <w:rPr>
          <w:sz w:val="20"/>
          <w:szCs w:val="20"/>
        </w:rPr>
      </w:pPr>
      <w:r w:rsidRPr="00FD6A6E">
        <w:rPr>
          <w:sz w:val="20"/>
          <w:szCs w:val="20"/>
        </w:rPr>
        <w:t xml:space="preserve">Táhirih was—insofar as her family, her education, her social networks, and her social position defined her—a scholar of religion.  A full account of her philosophical, doctrinal, and intellectual positions must include a painstaking and judicious examination and analysis of all her prose writings.  But, it is her poet’s voice that provides us with a portrait of her person and her passion.  Of her extant works, the prose writings in Arabic and </w:t>
      </w:r>
      <w:r w:rsidRPr="00FD6A6E">
        <w:rPr>
          <w:sz w:val="20"/>
          <w:szCs w:val="20"/>
        </w:rPr>
        <w:lastRenderedPageBreak/>
        <w:t>Persian are works of nineteenth-century religious scholarship that are too arcane and abstruse for the general public.  A handful of poems, however, reveal her tempestuous temperament and make her accessible to all people at all times.</w:t>
      </w:r>
      <w:r w:rsidRPr="00FD6A6E">
        <w:rPr>
          <w:rStyle w:val="FootnoteReference"/>
          <w:sz w:val="20"/>
          <w:szCs w:val="20"/>
        </w:rPr>
        <w:footnoteReference w:id="4"/>
      </w:r>
    </w:p>
    <w:p w14:paraId="043A0E9E" w14:textId="77777777" w:rsidR="00283655" w:rsidRPr="00FD6A6E" w:rsidRDefault="00283655" w:rsidP="00283655">
      <w:pPr>
        <w:ind w:left="720"/>
        <w:rPr>
          <w:sz w:val="20"/>
          <w:szCs w:val="20"/>
        </w:rPr>
      </w:pPr>
      <w:r w:rsidRPr="00FD6A6E">
        <w:rPr>
          <w:sz w:val="20"/>
          <w:szCs w:val="20"/>
        </w:rPr>
        <w:t xml:space="preserve">  </w:t>
      </w:r>
    </w:p>
    <w:p w14:paraId="424F759A" w14:textId="77777777" w:rsidR="008324CF" w:rsidRPr="00FD6A6E" w:rsidRDefault="008324CF" w:rsidP="00283655">
      <w:pPr>
        <w:rPr>
          <w:sz w:val="20"/>
          <w:szCs w:val="20"/>
        </w:rPr>
      </w:pPr>
    </w:p>
    <w:p w14:paraId="7D5F633E" w14:textId="77777777" w:rsidR="00283655" w:rsidRPr="00FD6A6E" w:rsidRDefault="00283655" w:rsidP="00BC1729">
      <w:pPr>
        <w:spacing w:line="480" w:lineRule="auto"/>
      </w:pPr>
      <w:r w:rsidRPr="00FD6A6E">
        <w:t xml:space="preserve">This distinction between </w:t>
      </w:r>
      <w:proofErr w:type="spellStart"/>
      <w:r w:rsidRPr="00FD6A6E">
        <w:t>Tahirih’s</w:t>
      </w:r>
      <w:proofErr w:type="spellEnd"/>
      <w:r w:rsidRPr="00FD6A6E">
        <w:t xml:space="preserve"> </w:t>
      </w:r>
      <w:r w:rsidRPr="00FD6A6E">
        <w:rPr>
          <w:i/>
        </w:rPr>
        <w:t>words</w:t>
      </w:r>
      <w:r w:rsidRPr="00FD6A6E">
        <w:t xml:space="preserve"> and </w:t>
      </w:r>
      <w:proofErr w:type="spellStart"/>
      <w:r w:rsidRPr="00FD6A6E">
        <w:t>Tahirih’s</w:t>
      </w:r>
      <w:proofErr w:type="spellEnd"/>
      <w:r w:rsidRPr="00FD6A6E">
        <w:t xml:space="preserve"> </w:t>
      </w:r>
      <w:r w:rsidRPr="00FD6A6E">
        <w:rPr>
          <w:i/>
        </w:rPr>
        <w:t>voice</w:t>
      </w:r>
      <w:r w:rsidRPr="00FD6A6E">
        <w:t xml:space="preserve"> is useful and instructive.  An examination of her poems will reveal the structure of a mystical theology that is both startling in its modernity and astonishing in its radical implications.  </w:t>
      </w:r>
      <w:r w:rsidR="007314F1" w:rsidRPr="00FD6A6E">
        <w:t>Her poems inhabit</w:t>
      </w:r>
      <w:r w:rsidRPr="00FD6A6E">
        <w:t xml:space="preserve"> a structure that does not rely upon Muslim scholarship for its arguments, but rather insists on the inspiration of the spirit for its power and legitimacy.  </w:t>
      </w:r>
    </w:p>
    <w:p w14:paraId="4F6F3A9B" w14:textId="77777777" w:rsidR="000E6B60" w:rsidRPr="00FD6A6E" w:rsidRDefault="00283655" w:rsidP="00BC1729">
      <w:pPr>
        <w:spacing w:line="480" w:lineRule="auto"/>
      </w:pPr>
      <w:r w:rsidRPr="00FD6A6E">
        <w:tab/>
      </w:r>
      <w:r w:rsidR="000E6B60" w:rsidRPr="00FD6A6E">
        <w:t xml:space="preserve">Tahirih did not understand her own knowledge to be </w:t>
      </w:r>
      <w:r w:rsidR="009A6120" w:rsidRPr="00FD6A6E">
        <w:t>dependent</w:t>
      </w:r>
      <w:r w:rsidR="000E6B60" w:rsidRPr="00FD6A6E">
        <w:t xml:space="preserve"> on academic learning </w:t>
      </w:r>
      <w:r w:rsidR="009A6120" w:rsidRPr="00FD6A6E">
        <w:t>alone</w:t>
      </w:r>
      <w:r w:rsidR="000E6B60" w:rsidRPr="00FD6A6E">
        <w:t>.  Though she made use of academic arguments extensively, she also understood her own mystical experiences to be a source of truth.  She relied on inspiration alone to justify some of her boldest acts and most radical breaks with Islamic tradition.  Abbas Amanat observes</w:t>
      </w:r>
      <w:r w:rsidR="00FD2154" w:rsidRPr="00FD6A6E">
        <w:t xml:space="preserve"> and quotes Tahirih</w:t>
      </w:r>
      <w:r w:rsidR="000E6B60" w:rsidRPr="00FD6A6E">
        <w:t xml:space="preserve">:  </w:t>
      </w:r>
    </w:p>
    <w:p w14:paraId="79283A86" w14:textId="77777777" w:rsidR="000E6B60" w:rsidRPr="00FD6A6E" w:rsidRDefault="000E6B60" w:rsidP="00502B90">
      <w:pPr>
        <w:spacing w:line="276" w:lineRule="auto"/>
        <w:ind w:left="720"/>
        <w:rPr>
          <w:sz w:val="20"/>
          <w:szCs w:val="20"/>
        </w:rPr>
      </w:pPr>
      <w:r w:rsidRPr="00FD6A6E">
        <w:rPr>
          <w:sz w:val="20"/>
          <w:szCs w:val="20"/>
        </w:rPr>
        <w:t xml:space="preserve">Passionately, </w:t>
      </w:r>
      <w:proofErr w:type="spellStart"/>
      <w:r w:rsidRPr="00FD6A6E">
        <w:rPr>
          <w:sz w:val="20"/>
          <w:szCs w:val="20"/>
        </w:rPr>
        <w:t>Qurrat</w:t>
      </w:r>
      <w:proofErr w:type="spellEnd"/>
      <w:r w:rsidRPr="00FD6A6E">
        <w:rPr>
          <w:sz w:val="20"/>
          <w:szCs w:val="20"/>
        </w:rPr>
        <w:t xml:space="preserve"> al-‘Ayn argues that she herself came to recognize the Bab when in a moment of intuitive insight she grasped the unceasing necessity for divine revelation: </w:t>
      </w:r>
    </w:p>
    <w:p w14:paraId="175A2E4D" w14:textId="77777777" w:rsidR="000E6B60" w:rsidRPr="00FD6A6E" w:rsidRDefault="000E6B60" w:rsidP="00502B90">
      <w:pPr>
        <w:spacing w:line="276" w:lineRule="auto"/>
        <w:ind w:left="720"/>
        <w:rPr>
          <w:sz w:val="20"/>
          <w:szCs w:val="20"/>
        </w:rPr>
      </w:pPr>
    </w:p>
    <w:p w14:paraId="79AF111E" w14:textId="77777777" w:rsidR="008324CF" w:rsidRPr="00FD6A6E" w:rsidRDefault="000E6B60" w:rsidP="00502B90">
      <w:pPr>
        <w:spacing w:line="276" w:lineRule="auto"/>
        <w:ind w:left="1440"/>
      </w:pPr>
      <w:r w:rsidRPr="00FD6A6E">
        <w:rPr>
          <w:sz w:val="20"/>
          <w:szCs w:val="20"/>
        </w:rPr>
        <w:t>With insight free of intruders, I observed God’s power and omnipotence [and realized] that this great cause</w:t>
      </w:r>
      <w:r w:rsidR="009A6120" w:rsidRPr="00FD6A6E">
        <w:rPr>
          <w:sz w:val="20"/>
          <w:szCs w:val="20"/>
        </w:rPr>
        <w:t xml:space="preserve"> most definitely</w:t>
      </w:r>
      <w:r w:rsidRPr="00FD6A6E">
        <w:rPr>
          <w:sz w:val="20"/>
          <w:szCs w:val="20"/>
        </w:rPr>
        <w:t xml:space="preserve"> needs a focus of manifestation</w:t>
      </w:r>
      <w:r w:rsidR="009A6120" w:rsidRPr="00FD6A6E">
        <w:rPr>
          <w:sz w:val="20"/>
          <w:szCs w:val="20"/>
        </w:rPr>
        <w:t>,</w:t>
      </w:r>
      <w:r w:rsidRPr="00FD6A6E">
        <w:rPr>
          <w:sz w:val="20"/>
          <w:szCs w:val="20"/>
        </w:rPr>
        <w:t xml:space="preserve"> for after God made His Fourth Pillar and His encompassing sign and His manifested locality known to people, and [thus] brought them close to His presence and showered them from His high exalted Heaven with His [spiritual] nourishment, then by proof of wisdom it is incumbent upon Him , whose status is high, not to leave the people to themselves</w:t>
      </w:r>
      <w:r w:rsidR="00FD2154" w:rsidRPr="00FD6A6E">
        <w:rPr>
          <w:sz w:val="20"/>
          <w:szCs w:val="20"/>
        </w:rPr>
        <w:t xml:space="preserve"> . . .</w:t>
      </w:r>
      <w:r w:rsidR="00FD2154" w:rsidRPr="00FD6A6E">
        <w:rPr>
          <w:rStyle w:val="FootnoteReference"/>
          <w:sz w:val="20"/>
          <w:szCs w:val="20"/>
        </w:rPr>
        <w:footnoteReference w:id="5"/>
      </w:r>
    </w:p>
    <w:p w14:paraId="4C30A13C" w14:textId="77777777" w:rsidR="00FD2154" w:rsidRPr="00FD6A6E" w:rsidRDefault="00FD2154" w:rsidP="00FD2154">
      <w:pPr>
        <w:ind w:left="1440"/>
      </w:pPr>
    </w:p>
    <w:p w14:paraId="00A66606" w14:textId="77777777" w:rsidR="008324CF" w:rsidRPr="00FD6A6E" w:rsidRDefault="00FD2154" w:rsidP="00BC1729">
      <w:pPr>
        <w:spacing w:line="480" w:lineRule="auto"/>
      </w:pPr>
      <w:r w:rsidRPr="00FD6A6E">
        <w:t>Bearing this in mind, the poetry of Qurratu’l-‘Ayn may take on an unexpected significance.</w:t>
      </w:r>
      <w:r w:rsidR="00C91D38" w:rsidRPr="00FD6A6E">
        <w:t xml:space="preserve">  It</w:t>
      </w:r>
      <w:r w:rsidRPr="00FD6A6E">
        <w:t xml:space="preserve"> might be argued seriously that these poems represent </w:t>
      </w:r>
      <w:proofErr w:type="spellStart"/>
      <w:r w:rsidRPr="00FD6A6E">
        <w:t>Tahirih’s</w:t>
      </w:r>
      <w:proofErr w:type="spellEnd"/>
      <w:r w:rsidRPr="00FD6A6E">
        <w:t xml:space="preserve"> mystic theology more clearly than do</w:t>
      </w:r>
      <w:r w:rsidR="009A6120" w:rsidRPr="00FD6A6E">
        <w:t>es</w:t>
      </w:r>
      <w:r w:rsidRPr="00FD6A6E">
        <w:t xml:space="preserve"> her prose.  Her poems </w:t>
      </w:r>
      <w:r w:rsidR="00C91D38" w:rsidRPr="00FD6A6E">
        <w:t>are</w:t>
      </w:r>
      <w:r w:rsidRPr="00FD6A6E">
        <w:t xml:space="preserve"> the product of her inspiration, uncluttered by academic conventions, and “free of intruders.”  </w:t>
      </w:r>
      <w:r w:rsidR="00C91D38" w:rsidRPr="00FD6A6E">
        <w:t>These</w:t>
      </w:r>
      <w:r w:rsidRPr="00FD6A6E">
        <w:t xml:space="preserve"> poems,</w:t>
      </w:r>
      <w:r w:rsidR="00C91D38" w:rsidRPr="00FD6A6E">
        <w:t xml:space="preserve"> after all, require no proof or </w:t>
      </w:r>
      <w:r w:rsidRPr="00FD6A6E">
        <w:t xml:space="preserve">justification.  They are simply the promptings of her inner spirit.  </w:t>
      </w:r>
      <w:r w:rsidR="00C91D38" w:rsidRPr="00FD6A6E">
        <w:t>Those promptings guided her theology.</w:t>
      </w:r>
    </w:p>
    <w:p w14:paraId="0AA4A4E3" w14:textId="77777777" w:rsidR="00C91D38" w:rsidRPr="00FD6A6E" w:rsidRDefault="00FD2154" w:rsidP="00BC1729">
      <w:pPr>
        <w:spacing w:line="480" w:lineRule="auto"/>
      </w:pPr>
      <w:r w:rsidRPr="00FD6A6E">
        <w:lastRenderedPageBreak/>
        <w:tab/>
        <w:t>In a celebrated episode, Tahirih relied on her personal inspiration to come to conclusions and to take actions of trem</w:t>
      </w:r>
      <w:r w:rsidR="00C91D38" w:rsidRPr="00FD6A6E">
        <w:t xml:space="preserve">endous import, in the face of fierce opposition from the Islamic clerical establishment and </w:t>
      </w:r>
      <w:r w:rsidR="00B7292E" w:rsidRPr="00FD6A6E">
        <w:t xml:space="preserve">from </w:t>
      </w:r>
      <w:r w:rsidR="00C91D38" w:rsidRPr="00FD6A6E">
        <w:t>leading Babi clerics, as well.  In Karbila, without any explicit instructions from the Bab (though she may have interpreted some of his verses very expansively</w:t>
      </w:r>
      <w:r w:rsidR="008C31DA" w:rsidRPr="00FD6A6E">
        <w:t>, even esoterically</w:t>
      </w:r>
      <w:r w:rsidR="00C91D38" w:rsidRPr="00FD6A6E">
        <w:t>) Tahirih decided to cast off the pretense of dissimulation (</w:t>
      </w:r>
      <w:r w:rsidR="00C91D38" w:rsidRPr="00FD6A6E">
        <w:rPr>
          <w:i/>
        </w:rPr>
        <w:t>taqiyyih</w:t>
      </w:r>
      <w:r w:rsidR="00C91D38" w:rsidRPr="00FD6A6E">
        <w:t xml:space="preserve">) and openly proclaim the abrogation of </w:t>
      </w:r>
      <w:r w:rsidR="008C31DA" w:rsidRPr="00FD6A6E">
        <w:t xml:space="preserve">the </w:t>
      </w:r>
      <w:r w:rsidR="00C91D38" w:rsidRPr="00FD6A6E">
        <w:t>Islamic law</w:t>
      </w:r>
      <w:r w:rsidR="00B7292E" w:rsidRPr="00FD6A6E">
        <w:t xml:space="preserve"> (</w:t>
      </w:r>
      <w:r w:rsidR="00C91D38" w:rsidRPr="00FD6A6E">
        <w:t xml:space="preserve">that is, the </w:t>
      </w:r>
      <w:r w:rsidR="00C91D38" w:rsidRPr="00FD6A6E">
        <w:rPr>
          <w:i/>
        </w:rPr>
        <w:t>shari’a</w:t>
      </w:r>
      <w:r w:rsidR="00B7292E" w:rsidRPr="00FD6A6E">
        <w:t>).</w:t>
      </w:r>
      <w:r w:rsidR="00C91D38" w:rsidRPr="00FD6A6E">
        <w:t xml:space="preserve">  As shocking, as radical, and as dangerous as such a move was, Tahirih felt confident that she could ground such a theological stance on pure inspiration.  Even other prominent Babis in Karbila were shocked.  One of them, Mulla Ahmad </w:t>
      </w:r>
      <w:proofErr w:type="spellStart"/>
      <w:r w:rsidR="00C91D38" w:rsidRPr="00FD6A6E">
        <w:t>Khurasani</w:t>
      </w:r>
      <w:proofErr w:type="spellEnd"/>
      <w:r w:rsidR="00C91D38" w:rsidRPr="00FD6A6E">
        <w:t>, argued with her vigorous</w:t>
      </w:r>
      <w:r w:rsidR="008C31DA" w:rsidRPr="00FD6A6E">
        <w:t>ly.  Denis MacEoin has describes</w:t>
      </w:r>
      <w:r w:rsidR="00C91D38" w:rsidRPr="00FD6A6E">
        <w:t xml:space="preserve"> the dispute:  </w:t>
      </w:r>
    </w:p>
    <w:p w14:paraId="69564E7D" w14:textId="77777777" w:rsidR="008324CF" w:rsidRPr="00FD6A6E" w:rsidRDefault="008324CF" w:rsidP="00502B90">
      <w:pPr>
        <w:spacing w:line="276" w:lineRule="auto"/>
        <w:ind w:left="720"/>
        <w:rPr>
          <w:sz w:val="20"/>
          <w:szCs w:val="20"/>
        </w:rPr>
      </w:pPr>
      <w:r w:rsidRPr="00FD6A6E">
        <w:rPr>
          <w:sz w:val="20"/>
          <w:szCs w:val="20"/>
        </w:rPr>
        <w:t xml:space="preserve">In an account of a visit made to </w:t>
      </w:r>
      <w:proofErr w:type="spellStart"/>
      <w:r w:rsidRPr="00FD6A6E">
        <w:rPr>
          <w:sz w:val="20"/>
          <w:szCs w:val="20"/>
        </w:rPr>
        <w:t>Qurrat</w:t>
      </w:r>
      <w:proofErr w:type="spellEnd"/>
      <w:r w:rsidRPr="00FD6A6E">
        <w:rPr>
          <w:sz w:val="20"/>
          <w:szCs w:val="20"/>
        </w:rPr>
        <w:t xml:space="preserve"> al-</w:t>
      </w:r>
      <w:r w:rsidR="003F283B" w:rsidRPr="00FD6A6E">
        <w:rPr>
          <w:sz w:val="20"/>
          <w:szCs w:val="20"/>
        </w:rPr>
        <w:t>‘</w:t>
      </w:r>
      <w:r w:rsidRPr="00FD6A6E">
        <w:rPr>
          <w:sz w:val="20"/>
          <w:szCs w:val="20"/>
        </w:rPr>
        <w:t xml:space="preserve">Ayn, apparently at this period, </w:t>
      </w:r>
      <w:proofErr w:type="spellStart"/>
      <w:r w:rsidRPr="00FD6A6E">
        <w:rPr>
          <w:sz w:val="20"/>
          <w:szCs w:val="20"/>
        </w:rPr>
        <w:t>Mullā</w:t>
      </w:r>
      <w:proofErr w:type="spellEnd"/>
      <w:r w:rsidRPr="00FD6A6E">
        <w:rPr>
          <w:sz w:val="20"/>
          <w:szCs w:val="20"/>
        </w:rPr>
        <w:t xml:space="preserve"> </w:t>
      </w:r>
      <w:proofErr w:type="spellStart"/>
      <w:r w:rsidRPr="00FD6A6E">
        <w:rPr>
          <w:sz w:val="20"/>
          <w:szCs w:val="20"/>
        </w:rPr>
        <w:t>Aḥmad</w:t>
      </w:r>
      <w:proofErr w:type="spellEnd"/>
      <w:r w:rsidRPr="00FD6A6E">
        <w:rPr>
          <w:sz w:val="20"/>
          <w:szCs w:val="20"/>
        </w:rPr>
        <w:t xml:space="preserve"> </w:t>
      </w:r>
      <w:proofErr w:type="spellStart"/>
      <w:r w:rsidRPr="00FD6A6E">
        <w:rPr>
          <w:sz w:val="20"/>
          <w:szCs w:val="20"/>
        </w:rPr>
        <w:t>Khurāsānī</w:t>
      </w:r>
      <w:proofErr w:type="spellEnd"/>
      <w:r w:rsidRPr="00FD6A6E">
        <w:rPr>
          <w:sz w:val="20"/>
          <w:szCs w:val="20"/>
        </w:rPr>
        <w:t xml:space="preserve"> gives, in her own words as he remembered them, an unequivocal statement of her intentions at this</w:t>
      </w:r>
      <w:r w:rsidR="003F283B" w:rsidRPr="00FD6A6E">
        <w:rPr>
          <w:sz w:val="20"/>
          <w:szCs w:val="20"/>
        </w:rPr>
        <w:t xml:space="preserve"> </w:t>
      </w:r>
      <w:r w:rsidRPr="00FD6A6E">
        <w:rPr>
          <w:sz w:val="20"/>
          <w:szCs w:val="20"/>
        </w:rPr>
        <w:t xml:space="preserve">point, although even he does not seem to have realized how critical for the future development of </w:t>
      </w:r>
      <w:proofErr w:type="spellStart"/>
      <w:r w:rsidRPr="00FD6A6E">
        <w:rPr>
          <w:sz w:val="20"/>
          <w:szCs w:val="20"/>
        </w:rPr>
        <w:t>Bābism</w:t>
      </w:r>
      <w:proofErr w:type="spellEnd"/>
      <w:r w:rsidRPr="00FD6A6E">
        <w:rPr>
          <w:sz w:val="20"/>
          <w:szCs w:val="20"/>
        </w:rPr>
        <w:t xml:space="preserve"> these intentions were to be:</w:t>
      </w:r>
    </w:p>
    <w:p w14:paraId="2F0DF554" w14:textId="77777777" w:rsidR="008324CF" w:rsidRPr="00FD6A6E" w:rsidRDefault="008324CF" w:rsidP="00502B90">
      <w:pPr>
        <w:spacing w:line="276" w:lineRule="auto"/>
        <w:ind w:left="720"/>
        <w:rPr>
          <w:sz w:val="20"/>
          <w:szCs w:val="20"/>
        </w:rPr>
      </w:pPr>
    </w:p>
    <w:p w14:paraId="4589667D" w14:textId="77777777" w:rsidR="008324CF" w:rsidRPr="00FD6A6E" w:rsidRDefault="008324CF" w:rsidP="00502B90">
      <w:pPr>
        <w:spacing w:line="276" w:lineRule="auto"/>
        <w:ind w:left="1440"/>
        <w:rPr>
          <w:sz w:val="20"/>
          <w:szCs w:val="20"/>
        </w:rPr>
      </w:pPr>
      <w:r w:rsidRPr="00FD6A6E">
        <w:rPr>
          <w:sz w:val="20"/>
          <w:szCs w:val="20"/>
        </w:rPr>
        <w:t>She asked me “Do you know why I summoned you?”. I replied “No”. She</w:t>
      </w:r>
    </w:p>
    <w:p w14:paraId="432DB47C" w14:textId="77777777" w:rsidR="008324CF" w:rsidRPr="00FD6A6E" w:rsidRDefault="008324CF" w:rsidP="00502B90">
      <w:pPr>
        <w:spacing w:line="276" w:lineRule="auto"/>
        <w:ind w:left="1440"/>
        <w:rPr>
          <w:sz w:val="20"/>
          <w:szCs w:val="20"/>
        </w:rPr>
      </w:pPr>
      <w:r w:rsidRPr="00FD6A6E">
        <w:rPr>
          <w:sz w:val="20"/>
          <w:szCs w:val="20"/>
        </w:rPr>
        <w:t>said, “I was previously given the responsibility for the authority (</w:t>
      </w:r>
      <w:proofErr w:type="spellStart"/>
      <w:r w:rsidRPr="00FD6A6E">
        <w:rPr>
          <w:i/>
          <w:iCs/>
          <w:sz w:val="20"/>
          <w:szCs w:val="20"/>
        </w:rPr>
        <w:t>wilāya</w:t>
      </w:r>
      <w:proofErr w:type="spellEnd"/>
      <w:r w:rsidRPr="00FD6A6E">
        <w:rPr>
          <w:sz w:val="20"/>
          <w:szCs w:val="20"/>
        </w:rPr>
        <w:t>)</w:t>
      </w:r>
    </w:p>
    <w:p w14:paraId="4B71C22D" w14:textId="77777777" w:rsidR="008324CF" w:rsidRPr="00FD6A6E" w:rsidRDefault="008324CF" w:rsidP="00502B90">
      <w:pPr>
        <w:spacing w:line="276" w:lineRule="auto"/>
        <w:ind w:left="1440"/>
        <w:rPr>
          <w:sz w:val="20"/>
          <w:szCs w:val="20"/>
        </w:rPr>
      </w:pPr>
      <w:r w:rsidRPr="00FD6A6E">
        <w:rPr>
          <w:sz w:val="20"/>
          <w:szCs w:val="20"/>
        </w:rPr>
        <w:t xml:space="preserve">of </w:t>
      </w:r>
      <w:proofErr w:type="spellStart"/>
      <w:r w:rsidRPr="00FD6A6E">
        <w:rPr>
          <w:sz w:val="20"/>
          <w:szCs w:val="20"/>
        </w:rPr>
        <w:t>Mullā</w:t>
      </w:r>
      <w:proofErr w:type="spellEnd"/>
      <w:r w:rsidRPr="00FD6A6E">
        <w:rPr>
          <w:sz w:val="20"/>
          <w:szCs w:val="20"/>
        </w:rPr>
        <w:t xml:space="preserve"> </w:t>
      </w:r>
      <w:proofErr w:type="spellStart"/>
      <w:r w:rsidRPr="00FD6A6E">
        <w:rPr>
          <w:sz w:val="20"/>
          <w:szCs w:val="20"/>
        </w:rPr>
        <w:t>Bāqir</w:t>
      </w:r>
      <w:proofErr w:type="spellEnd"/>
      <w:r w:rsidRPr="00FD6A6E">
        <w:rPr>
          <w:sz w:val="20"/>
          <w:szCs w:val="20"/>
        </w:rPr>
        <w:t xml:space="preserve">, and I made it incumbent on all of you to accept it. Yet </w:t>
      </w:r>
      <w:proofErr w:type="spellStart"/>
      <w:r w:rsidRPr="00FD6A6E">
        <w:rPr>
          <w:sz w:val="20"/>
          <w:szCs w:val="20"/>
        </w:rPr>
        <w:t>noone</w:t>
      </w:r>
      <w:proofErr w:type="spellEnd"/>
    </w:p>
    <w:p w14:paraId="66331CF9" w14:textId="77777777" w:rsidR="008324CF" w:rsidRPr="00FD6A6E" w:rsidRDefault="008324CF" w:rsidP="00502B90">
      <w:pPr>
        <w:spacing w:line="276" w:lineRule="auto"/>
        <w:ind w:left="1440"/>
        <w:rPr>
          <w:sz w:val="20"/>
          <w:szCs w:val="20"/>
        </w:rPr>
      </w:pPr>
      <w:r w:rsidRPr="00FD6A6E">
        <w:rPr>
          <w:sz w:val="20"/>
          <w:szCs w:val="20"/>
        </w:rPr>
        <w:t>accepted it from me, with the exception of fourteen individuals, seven</w:t>
      </w:r>
    </w:p>
    <w:p w14:paraId="51EB7A7C" w14:textId="77777777" w:rsidR="008324CF" w:rsidRPr="00FD6A6E" w:rsidRDefault="008324CF" w:rsidP="00502B90">
      <w:pPr>
        <w:spacing w:line="276" w:lineRule="auto"/>
        <w:ind w:left="1440"/>
        <w:rPr>
          <w:sz w:val="20"/>
          <w:szCs w:val="20"/>
        </w:rPr>
      </w:pPr>
      <w:r w:rsidRPr="00FD6A6E">
        <w:rPr>
          <w:sz w:val="20"/>
          <w:szCs w:val="20"/>
        </w:rPr>
        <w:t>men and seven women. Now I shall present you with something else.” I</w:t>
      </w:r>
    </w:p>
    <w:p w14:paraId="51C6D4D1" w14:textId="77777777" w:rsidR="008324CF" w:rsidRPr="00FD6A6E" w:rsidRDefault="008324CF" w:rsidP="00502B90">
      <w:pPr>
        <w:spacing w:line="276" w:lineRule="auto"/>
        <w:ind w:left="1440"/>
        <w:rPr>
          <w:sz w:val="20"/>
          <w:szCs w:val="20"/>
        </w:rPr>
      </w:pPr>
      <w:r w:rsidRPr="00FD6A6E">
        <w:rPr>
          <w:sz w:val="20"/>
          <w:szCs w:val="20"/>
        </w:rPr>
        <w:t>said, “What is that?” She replied “It has come to me, through the tongue of</w:t>
      </w:r>
    </w:p>
    <w:p w14:paraId="53DF33BC" w14:textId="77777777" w:rsidR="008324CF" w:rsidRPr="00FD6A6E" w:rsidRDefault="008324CF" w:rsidP="00502B90">
      <w:pPr>
        <w:spacing w:line="276" w:lineRule="auto"/>
        <w:ind w:left="1440"/>
        <w:rPr>
          <w:sz w:val="20"/>
          <w:szCs w:val="20"/>
        </w:rPr>
      </w:pPr>
      <w:r w:rsidRPr="00FD6A6E">
        <w:rPr>
          <w:sz w:val="20"/>
          <w:szCs w:val="20"/>
        </w:rPr>
        <w:t>my inner mystic state (</w:t>
      </w:r>
      <w:r w:rsidRPr="00FD6A6E">
        <w:rPr>
          <w:i/>
          <w:iCs/>
          <w:sz w:val="20"/>
          <w:szCs w:val="20"/>
        </w:rPr>
        <w:t>bi-</w:t>
      </w:r>
      <w:proofErr w:type="spellStart"/>
      <w:r w:rsidRPr="00FD6A6E">
        <w:rPr>
          <w:i/>
          <w:iCs/>
          <w:sz w:val="20"/>
          <w:szCs w:val="20"/>
        </w:rPr>
        <w:t>lisān</w:t>
      </w:r>
      <w:proofErr w:type="spellEnd"/>
      <w:r w:rsidRPr="00FD6A6E">
        <w:rPr>
          <w:i/>
          <w:iCs/>
          <w:sz w:val="20"/>
          <w:szCs w:val="20"/>
        </w:rPr>
        <w:t xml:space="preserve"> </w:t>
      </w:r>
      <w:proofErr w:type="spellStart"/>
      <w:r w:rsidRPr="00FD6A6E">
        <w:rPr>
          <w:i/>
          <w:iCs/>
          <w:sz w:val="20"/>
          <w:szCs w:val="20"/>
        </w:rPr>
        <w:t>al-ḥāl</w:t>
      </w:r>
      <w:proofErr w:type="spellEnd"/>
      <w:r w:rsidRPr="00FD6A6E">
        <w:rPr>
          <w:sz w:val="20"/>
          <w:szCs w:val="20"/>
        </w:rPr>
        <w:t>), not through physical speech, that I</w:t>
      </w:r>
    </w:p>
    <w:p w14:paraId="34D09D06" w14:textId="77777777" w:rsidR="008324CF" w:rsidRPr="00FD6A6E" w:rsidRDefault="008324CF" w:rsidP="00502B90">
      <w:pPr>
        <w:spacing w:line="276" w:lineRule="auto"/>
        <w:ind w:left="1440"/>
        <w:rPr>
          <w:sz w:val="20"/>
          <w:szCs w:val="20"/>
        </w:rPr>
      </w:pPr>
      <w:r w:rsidRPr="00FD6A6E">
        <w:rPr>
          <w:sz w:val="20"/>
          <w:szCs w:val="20"/>
        </w:rPr>
        <w:t>wish to remove all concealment (</w:t>
      </w:r>
      <w:r w:rsidRPr="00FD6A6E">
        <w:rPr>
          <w:i/>
          <w:iCs/>
          <w:sz w:val="20"/>
          <w:szCs w:val="20"/>
        </w:rPr>
        <w:t>taqiyya</w:t>
      </w:r>
      <w:r w:rsidRPr="00FD6A6E">
        <w:rPr>
          <w:sz w:val="20"/>
          <w:szCs w:val="20"/>
        </w:rPr>
        <w:t>) and to establish the proof of the</w:t>
      </w:r>
    </w:p>
    <w:p w14:paraId="4224ADF8" w14:textId="77777777" w:rsidR="008324CF" w:rsidRPr="00FD6A6E" w:rsidRDefault="008324CF" w:rsidP="00502B90">
      <w:pPr>
        <w:spacing w:line="276" w:lineRule="auto"/>
        <w:ind w:left="1440"/>
        <w:rPr>
          <w:sz w:val="20"/>
          <w:szCs w:val="20"/>
        </w:rPr>
      </w:pPr>
      <w:r w:rsidRPr="00FD6A6E">
        <w:rPr>
          <w:sz w:val="20"/>
          <w:szCs w:val="20"/>
        </w:rPr>
        <w:t>remembrance and go to Baghdad.</w:t>
      </w:r>
    </w:p>
    <w:p w14:paraId="1432E52E" w14:textId="77777777" w:rsidR="008324CF" w:rsidRPr="00FD6A6E" w:rsidRDefault="008324CF" w:rsidP="00502B90">
      <w:pPr>
        <w:spacing w:line="276" w:lineRule="auto"/>
        <w:ind w:left="720"/>
        <w:rPr>
          <w:sz w:val="20"/>
          <w:szCs w:val="20"/>
        </w:rPr>
      </w:pPr>
    </w:p>
    <w:p w14:paraId="7F8EC044" w14:textId="77777777" w:rsidR="00C91D38" w:rsidRPr="00FD6A6E" w:rsidRDefault="008324CF" w:rsidP="00502B90">
      <w:pPr>
        <w:spacing w:line="276" w:lineRule="auto"/>
        <w:ind w:left="720"/>
        <w:rPr>
          <w:sz w:val="20"/>
          <w:szCs w:val="20"/>
        </w:rPr>
      </w:pPr>
      <w:r w:rsidRPr="00FD6A6E">
        <w:rPr>
          <w:sz w:val="20"/>
          <w:szCs w:val="20"/>
        </w:rPr>
        <w:t xml:space="preserve">An argument ensued, at the end of which </w:t>
      </w:r>
      <w:proofErr w:type="spellStart"/>
      <w:r w:rsidRPr="00FD6A6E">
        <w:rPr>
          <w:sz w:val="20"/>
          <w:szCs w:val="20"/>
        </w:rPr>
        <w:t>Mullā</w:t>
      </w:r>
      <w:proofErr w:type="spellEnd"/>
      <w:r w:rsidRPr="00FD6A6E">
        <w:rPr>
          <w:sz w:val="20"/>
          <w:szCs w:val="20"/>
        </w:rPr>
        <w:t xml:space="preserve"> </w:t>
      </w:r>
      <w:proofErr w:type="spellStart"/>
      <w:r w:rsidRPr="00FD6A6E">
        <w:rPr>
          <w:sz w:val="20"/>
          <w:szCs w:val="20"/>
        </w:rPr>
        <w:t>Aḥmad</w:t>
      </w:r>
      <w:proofErr w:type="spellEnd"/>
      <w:r w:rsidRPr="00FD6A6E">
        <w:rPr>
          <w:sz w:val="20"/>
          <w:szCs w:val="20"/>
        </w:rPr>
        <w:t xml:space="preserve"> left, maintaining that he had himself received no fewer than seven letters from the </w:t>
      </w:r>
      <w:proofErr w:type="spellStart"/>
      <w:r w:rsidRPr="00FD6A6E">
        <w:rPr>
          <w:sz w:val="20"/>
          <w:szCs w:val="20"/>
        </w:rPr>
        <w:t>Bāb</w:t>
      </w:r>
      <w:proofErr w:type="spellEnd"/>
      <w:r w:rsidRPr="00FD6A6E">
        <w:rPr>
          <w:sz w:val="20"/>
          <w:szCs w:val="20"/>
        </w:rPr>
        <w:t xml:space="preserve">, all commanding observance of </w:t>
      </w:r>
      <w:r w:rsidRPr="00FD6A6E">
        <w:rPr>
          <w:i/>
          <w:iCs/>
          <w:sz w:val="20"/>
          <w:szCs w:val="20"/>
        </w:rPr>
        <w:t>taqiyya</w:t>
      </w:r>
      <w:r w:rsidRPr="00FD6A6E">
        <w:rPr>
          <w:sz w:val="20"/>
          <w:szCs w:val="20"/>
        </w:rPr>
        <w:t>.</w:t>
      </w:r>
      <w:r w:rsidRPr="00FD6A6E">
        <w:rPr>
          <w:rStyle w:val="FootnoteReference"/>
          <w:sz w:val="20"/>
          <w:szCs w:val="20"/>
        </w:rPr>
        <w:footnoteReference w:id="6"/>
      </w:r>
      <w:r w:rsidRPr="00FD6A6E">
        <w:rPr>
          <w:sz w:val="20"/>
          <w:szCs w:val="20"/>
        </w:rPr>
        <w:t xml:space="preserve"> </w:t>
      </w:r>
    </w:p>
    <w:p w14:paraId="2272F780" w14:textId="77777777" w:rsidR="00C91D38" w:rsidRPr="00FD6A6E" w:rsidRDefault="00C91D38" w:rsidP="00FD2154">
      <w:pPr>
        <w:ind w:left="720"/>
        <w:rPr>
          <w:sz w:val="20"/>
          <w:szCs w:val="20"/>
        </w:rPr>
      </w:pPr>
    </w:p>
    <w:p w14:paraId="2F8DBAA6" w14:textId="77777777" w:rsidR="00C91D38" w:rsidRPr="00FD6A6E" w:rsidRDefault="00C91D38" w:rsidP="00FD2154">
      <w:pPr>
        <w:ind w:left="720"/>
        <w:rPr>
          <w:sz w:val="20"/>
          <w:szCs w:val="20"/>
        </w:rPr>
      </w:pPr>
    </w:p>
    <w:p w14:paraId="6B3E4147" w14:textId="77777777" w:rsidR="00F24290" w:rsidRPr="00FD6A6E" w:rsidRDefault="000C02F9" w:rsidP="008C31DA">
      <w:pPr>
        <w:spacing w:line="480" w:lineRule="auto"/>
        <w:ind w:firstLine="720"/>
      </w:pPr>
      <w:r w:rsidRPr="00FD6A6E">
        <w:t xml:space="preserve">Of course, we might reasonably </w:t>
      </w:r>
      <w:r w:rsidR="008C31DA" w:rsidRPr="00FD6A6E">
        <w:t xml:space="preserve">have </w:t>
      </w:r>
      <w:r w:rsidRPr="00FD6A6E">
        <w:t>argue</w:t>
      </w:r>
      <w:r w:rsidR="008C31DA" w:rsidRPr="00FD6A6E">
        <w:t>d</w:t>
      </w:r>
      <w:r w:rsidRPr="00FD6A6E">
        <w:t xml:space="preserve"> </w:t>
      </w:r>
      <w:r w:rsidR="008C31DA" w:rsidRPr="00FD6A6E">
        <w:t xml:space="preserve">at the time </w:t>
      </w:r>
      <w:r w:rsidRPr="00FD6A6E">
        <w:t xml:space="preserve">that Mulla Ahmad was correct, from a purely literal and academic perspective.  The Bab had repeatedly admonished the Babis to strictly observe the Shi’i convention of </w:t>
      </w:r>
      <w:r w:rsidRPr="00FD6A6E">
        <w:rPr>
          <w:i/>
        </w:rPr>
        <w:t xml:space="preserve">taqiyyih.  </w:t>
      </w:r>
      <w:proofErr w:type="spellStart"/>
      <w:r w:rsidRPr="00FD6A6E">
        <w:t>Tahirih’s</w:t>
      </w:r>
      <w:proofErr w:type="spellEnd"/>
      <w:r w:rsidRPr="00FD6A6E">
        <w:t xml:space="preserve"> theology rejected those command</w:t>
      </w:r>
      <w:r w:rsidR="008C31DA" w:rsidRPr="00FD6A6E">
        <w:t>s</w:t>
      </w:r>
      <w:r w:rsidRPr="00FD6A6E">
        <w:t>, however, or at least found that they were no longer binding.  She would go on to make these same arguments at the Conference of Badasht (1848), where she removed her veil (</w:t>
      </w:r>
      <w:proofErr w:type="spellStart"/>
      <w:r w:rsidRPr="00FD6A6E">
        <w:rPr>
          <w:i/>
        </w:rPr>
        <w:t>chadur</w:t>
      </w:r>
      <w:proofErr w:type="spellEnd"/>
      <w:r w:rsidRPr="00FD6A6E">
        <w:t xml:space="preserve">) and </w:t>
      </w:r>
      <w:r w:rsidR="008C31DA" w:rsidRPr="00FD6A6E">
        <w:t>stepped into</w:t>
      </w:r>
      <w:r w:rsidRPr="00FD6A6E">
        <w:t xml:space="preserve"> a company of </w:t>
      </w:r>
      <w:r w:rsidRPr="00FD6A6E">
        <w:lastRenderedPageBreak/>
        <w:t xml:space="preserve">Babi </w:t>
      </w:r>
      <w:r w:rsidR="008C31DA" w:rsidRPr="00FD6A6E">
        <w:t xml:space="preserve">men </w:t>
      </w:r>
      <w:r w:rsidR="00B7292E" w:rsidRPr="00FD6A6E">
        <w:t xml:space="preserve">without it </w:t>
      </w:r>
      <w:r w:rsidRPr="00FD6A6E">
        <w:t xml:space="preserve">to demonstrate her categorical rejection of the </w:t>
      </w:r>
      <w:r w:rsidRPr="00FD6A6E">
        <w:rPr>
          <w:i/>
        </w:rPr>
        <w:t>shari’a</w:t>
      </w:r>
      <w:r w:rsidR="00B7292E" w:rsidRPr="00FD6A6E">
        <w:t xml:space="preserve"> (and now with the added astounding</w:t>
      </w:r>
      <w:r w:rsidR="001C2DF9" w:rsidRPr="00FD6A6E">
        <w:t xml:space="preserve"> announcement that the entire dispensation of Islam had been abrogated). Of course, her mystic</w:t>
      </w:r>
      <w:r w:rsidRPr="00FD6A6E">
        <w:t xml:space="preserve"> theology was successful and </w:t>
      </w:r>
      <w:r w:rsidR="001C2DF9" w:rsidRPr="00FD6A6E">
        <w:t xml:space="preserve">soon </w:t>
      </w:r>
      <w:r w:rsidRPr="00FD6A6E">
        <w:t xml:space="preserve">became the normative Babi position.  </w:t>
      </w:r>
      <w:r w:rsidR="003E6F32" w:rsidRPr="00FD6A6E">
        <w:t>Her theological position quickly propelled the Babis and the Babi religion beyond the boundaries of Islam.  This was a unique event in Islamic history, a history which witnesses endless Islamic heterodoxies and reform movements.  But none of these ever consciously intended to discard the religion itself in favor of a new divine dispensation.  All heretics, for a thousand years, remained Muslims, if only in their own minds.  Tahirih marks the break with this model</w:t>
      </w:r>
      <w:r w:rsidR="00F24290" w:rsidRPr="00FD6A6E">
        <w:t>, as she makes no appeal to Muhammad or the Imams</w:t>
      </w:r>
      <w:r w:rsidR="00553F2B" w:rsidRPr="00FD6A6E">
        <w:rPr>
          <w:rStyle w:val="FootnoteReference"/>
        </w:rPr>
        <w:footnoteReference w:id="7"/>
      </w:r>
      <w:r w:rsidR="00F24290" w:rsidRPr="00FD6A6E">
        <w:t xml:space="preserve"> in her poems, declares the </w:t>
      </w:r>
      <w:r w:rsidR="00F24290" w:rsidRPr="00FD6A6E">
        <w:rPr>
          <w:i/>
        </w:rPr>
        <w:t>shari’a</w:t>
      </w:r>
      <w:r w:rsidR="00F24290" w:rsidRPr="00FD6A6E">
        <w:t xml:space="preserve"> null and void, and embraces a new Manifestation of God. </w:t>
      </w:r>
      <w:r w:rsidR="00230A07" w:rsidRPr="00FD6A6E">
        <w:t xml:space="preserve"> She writes in one poem about the new Manifestation:</w:t>
      </w:r>
    </w:p>
    <w:p w14:paraId="4E5B2BDD" w14:textId="77777777" w:rsidR="00F24290" w:rsidRPr="00FD6A6E" w:rsidRDefault="00F24290" w:rsidP="009B729F">
      <w:pPr>
        <w:ind w:firstLine="720"/>
      </w:pPr>
      <w:r w:rsidRPr="00FD6A6E">
        <w:t xml:space="preserve">The arches of his eyes will make the feuds </w:t>
      </w:r>
    </w:p>
    <w:p w14:paraId="1AAEACDB" w14:textId="77777777" w:rsidR="009B729F" w:rsidRPr="00FD6A6E" w:rsidRDefault="009B729F" w:rsidP="009B729F">
      <w:pPr>
        <w:ind w:firstLine="720"/>
      </w:pPr>
      <w:r w:rsidRPr="00FD6A6E">
        <w:t>Of warring faiths and creeds to disappear.</w:t>
      </w:r>
    </w:p>
    <w:p w14:paraId="3A2A12CB" w14:textId="77777777" w:rsidR="009B729F" w:rsidRPr="00FD6A6E" w:rsidRDefault="009B729F" w:rsidP="009B729F">
      <w:pPr>
        <w:ind w:firstLine="720"/>
      </w:pPr>
    </w:p>
    <w:p w14:paraId="7B1FC94A" w14:textId="77777777" w:rsidR="009B729F" w:rsidRPr="00FD6A6E" w:rsidRDefault="009B729F" w:rsidP="009B729F">
      <w:pPr>
        <w:ind w:firstLine="720"/>
      </w:pPr>
      <w:r w:rsidRPr="00FD6A6E">
        <w:t xml:space="preserve">Moses and Jesus in heaven are stunned, </w:t>
      </w:r>
    </w:p>
    <w:p w14:paraId="0D7A0A08" w14:textId="77777777" w:rsidR="009B729F" w:rsidRPr="00FD6A6E" w:rsidRDefault="009B729F" w:rsidP="009B729F">
      <w:pPr>
        <w:ind w:firstLine="720"/>
      </w:pPr>
      <w:r w:rsidRPr="00FD6A6E">
        <w:t xml:space="preserve">And all the holy ones are lost down here.  </w:t>
      </w:r>
    </w:p>
    <w:p w14:paraId="1DDF88FC" w14:textId="77777777" w:rsidR="009B729F" w:rsidRPr="00FD6A6E" w:rsidRDefault="009B729F" w:rsidP="009B729F">
      <w:pPr>
        <w:ind w:firstLine="720"/>
      </w:pPr>
    </w:p>
    <w:p w14:paraId="2396E83E" w14:textId="77777777" w:rsidR="009B729F" w:rsidRPr="00FD6A6E" w:rsidRDefault="009B729F" w:rsidP="009B729F">
      <w:pPr>
        <w:ind w:firstLine="720"/>
      </w:pPr>
      <w:r w:rsidRPr="00FD6A6E">
        <w:t xml:space="preserve">Two thousand </w:t>
      </w:r>
      <w:proofErr w:type="spellStart"/>
      <w:r w:rsidRPr="00FD6A6E">
        <w:t>Muhammads</w:t>
      </w:r>
      <w:proofErr w:type="spellEnd"/>
      <w:r w:rsidRPr="00FD6A6E">
        <w:t xml:space="preserve"> hear thunderbolts, </w:t>
      </w:r>
    </w:p>
    <w:p w14:paraId="6F584AF1" w14:textId="77777777" w:rsidR="009B729F" w:rsidRPr="00FD6A6E" w:rsidRDefault="009B729F" w:rsidP="009B729F">
      <w:pPr>
        <w:ind w:firstLine="720"/>
      </w:pPr>
      <w:r w:rsidRPr="00FD6A6E">
        <w:t>They wrap themselves in cloaks, tremble in fear.</w:t>
      </w:r>
      <w:r w:rsidRPr="00FD6A6E">
        <w:rPr>
          <w:rStyle w:val="FootnoteReference"/>
        </w:rPr>
        <w:footnoteReference w:id="8"/>
      </w:r>
    </w:p>
    <w:p w14:paraId="293FF723" w14:textId="77777777" w:rsidR="009B729F" w:rsidRPr="00FD6A6E" w:rsidRDefault="009B729F" w:rsidP="009B729F"/>
    <w:p w14:paraId="15F8CFA9" w14:textId="77777777" w:rsidR="009B729F" w:rsidRPr="00FD6A6E" w:rsidRDefault="009B729F" w:rsidP="009B729F"/>
    <w:p w14:paraId="054346FD" w14:textId="77777777" w:rsidR="000C02F9" w:rsidRPr="00FD6A6E" w:rsidRDefault="000C02F9" w:rsidP="009B729F">
      <w:pPr>
        <w:rPr>
          <w:b/>
        </w:rPr>
      </w:pPr>
      <w:r w:rsidRPr="00FD6A6E">
        <w:rPr>
          <w:b/>
        </w:rPr>
        <w:t xml:space="preserve">Theology in Poems </w:t>
      </w:r>
    </w:p>
    <w:p w14:paraId="0106FB0E" w14:textId="77777777" w:rsidR="009B729F" w:rsidRPr="00FD6A6E" w:rsidRDefault="009B729F" w:rsidP="009B729F"/>
    <w:p w14:paraId="03DA02D5" w14:textId="77777777" w:rsidR="003E3A99" w:rsidRPr="00FD6A6E" w:rsidRDefault="00AA3559" w:rsidP="000C02F9">
      <w:pPr>
        <w:spacing w:line="480" w:lineRule="auto"/>
      </w:pPr>
      <w:r w:rsidRPr="00FD6A6E">
        <w:t xml:space="preserve">The volume entitled </w:t>
      </w:r>
      <w:r w:rsidRPr="00FD6A6E">
        <w:rPr>
          <w:i/>
        </w:rPr>
        <w:t>Tahirih: A Portrait in Poetry</w:t>
      </w:r>
      <w:r w:rsidRPr="00FD6A6E">
        <w:t xml:space="preserve">, translated and edited by Banani, Kessler, and Lee, is </w:t>
      </w:r>
      <w:r w:rsidR="004442D9" w:rsidRPr="00FD6A6E">
        <w:t>Banani’s</w:t>
      </w:r>
      <w:r w:rsidRPr="00FD6A6E">
        <w:t xml:space="preserve"> selection of </w:t>
      </w:r>
      <w:r w:rsidR="004442D9" w:rsidRPr="00FD6A6E">
        <w:t xml:space="preserve">the </w:t>
      </w:r>
      <w:r w:rsidRPr="00FD6A6E">
        <w:t>poems of Qurratu’l-‘Ayn.  This compilation includes the poems that Banani regarded as most likely to be authentic, most poetic</w:t>
      </w:r>
      <w:r w:rsidR="008C31DA" w:rsidRPr="00FD6A6E">
        <w:t xml:space="preserve"> from the perspective of literature</w:t>
      </w:r>
      <w:r w:rsidRPr="00FD6A6E">
        <w:t xml:space="preserve">, and most representative of </w:t>
      </w:r>
      <w:proofErr w:type="spellStart"/>
      <w:r w:rsidRPr="00FD6A6E">
        <w:t>Tahirih’s</w:t>
      </w:r>
      <w:proofErr w:type="spellEnd"/>
      <w:r w:rsidRPr="00FD6A6E">
        <w:t xml:space="preserve"> spirit.  He viewed other collections of poems attributed to Tahirih with suspicion, yet confessed that we are very far from a </w:t>
      </w:r>
      <w:r w:rsidRPr="00FD6A6E">
        <w:rPr>
          <w:i/>
        </w:rPr>
        <w:t>divan</w:t>
      </w:r>
      <w:r w:rsidRPr="00FD6A6E">
        <w:t xml:space="preserve"> of Tahirih that can stand up to academic </w:t>
      </w:r>
      <w:r w:rsidRPr="00FD6A6E">
        <w:lastRenderedPageBreak/>
        <w:t>scrutiny.</w:t>
      </w:r>
      <w:r w:rsidR="00394991" w:rsidRPr="00FD6A6E">
        <w:rPr>
          <w:rStyle w:val="FootnoteReference"/>
        </w:rPr>
        <w:footnoteReference w:id="9"/>
      </w:r>
      <w:r w:rsidRPr="00FD6A6E">
        <w:t xml:space="preserve">  For some of these </w:t>
      </w:r>
      <w:r w:rsidR="00394991" w:rsidRPr="00FD6A6E">
        <w:t xml:space="preserve">collected </w:t>
      </w:r>
      <w:r w:rsidRPr="00FD6A6E">
        <w:t xml:space="preserve">poems, Banani insisted that they were not intended as poetry at all.  They were only rhymed letters of correspondence with fellow </w:t>
      </w:r>
      <w:r w:rsidR="004442D9" w:rsidRPr="00FD6A6E">
        <w:t>Babis</w:t>
      </w:r>
      <w:r w:rsidRPr="00FD6A6E">
        <w:t>.  I was able</w:t>
      </w:r>
      <w:r w:rsidR="004442D9" w:rsidRPr="00FD6A6E">
        <w:t xml:space="preserve"> at one point, and with some difficulty,</w:t>
      </w:r>
      <w:r w:rsidRPr="00FD6A6E">
        <w:t xml:space="preserve"> to obtain a full manuscript of </w:t>
      </w:r>
      <w:proofErr w:type="spellStart"/>
      <w:r w:rsidRPr="00FD6A6E">
        <w:t>Tahirih’s</w:t>
      </w:r>
      <w:proofErr w:type="spellEnd"/>
      <w:r w:rsidRPr="00FD6A6E">
        <w:t xml:space="preserve"> </w:t>
      </w:r>
      <w:r w:rsidR="004442D9" w:rsidRPr="00FD6A6E">
        <w:t xml:space="preserve">unpublished </w:t>
      </w:r>
      <w:r w:rsidRPr="00FD6A6E">
        <w:t>poems</w:t>
      </w:r>
      <w:r w:rsidR="004442D9" w:rsidRPr="00FD6A6E">
        <w:t xml:space="preserve"> in the original language.</w:t>
      </w:r>
      <w:r w:rsidRPr="00FD6A6E">
        <w:t xml:space="preserve"> </w:t>
      </w:r>
      <w:r w:rsidR="004442D9" w:rsidRPr="00FD6A6E">
        <w:t>This manuscript</w:t>
      </w:r>
      <w:r w:rsidRPr="00FD6A6E">
        <w:t xml:space="preserve"> was </w:t>
      </w:r>
      <w:r w:rsidR="00394991" w:rsidRPr="00FD6A6E">
        <w:t xml:space="preserve">some time </w:t>
      </w:r>
      <w:r w:rsidRPr="00FD6A6E">
        <w:t>later translated</w:t>
      </w:r>
      <w:r w:rsidR="00394991" w:rsidRPr="00FD6A6E">
        <w:t xml:space="preserve"> by</w:t>
      </w:r>
      <w:r w:rsidR="003E6F32" w:rsidRPr="00FD6A6E">
        <w:t xml:space="preserve"> John S.</w:t>
      </w:r>
      <w:r w:rsidR="00394991" w:rsidRPr="00FD6A6E">
        <w:t xml:space="preserve"> Hatcher and </w:t>
      </w:r>
      <w:proofErr w:type="spellStart"/>
      <w:r w:rsidR="003E6F32" w:rsidRPr="00FD6A6E">
        <w:t>Amrollah</w:t>
      </w:r>
      <w:proofErr w:type="spellEnd"/>
      <w:r w:rsidR="003E6F32" w:rsidRPr="00FD6A6E">
        <w:t xml:space="preserve"> </w:t>
      </w:r>
      <w:proofErr w:type="spellStart"/>
      <w:r w:rsidR="00394991" w:rsidRPr="00FD6A6E">
        <w:t>Hemmat</w:t>
      </w:r>
      <w:proofErr w:type="spellEnd"/>
      <w:r w:rsidR="00394991" w:rsidRPr="00FD6A6E">
        <w:t xml:space="preserve"> (</w:t>
      </w:r>
      <w:r w:rsidRPr="00FD6A6E">
        <w:t xml:space="preserve">and </w:t>
      </w:r>
      <w:r w:rsidR="004442D9" w:rsidRPr="00FD6A6E">
        <w:t xml:space="preserve">also </w:t>
      </w:r>
      <w:r w:rsidRPr="00FD6A6E">
        <w:t>published in facsimile</w:t>
      </w:r>
      <w:r w:rsidR="00394991" w:rsidRPr="00FD6A6E">
        <w:t>)</w:t>
      </w:r>
      <w:r w:rsidRPr="00FD6A6E">
        <w:t xml:space="preserve"> as </w:t>
      </w:r>
      <w:r w:rsidRPr="00FD6A6E">
        <w:rPr>
          <w:i/>
        </w:rPr>
        <w:t>Adam’s Wish</w:t>
      </w:r>
      <w:r w:rsidR="004442D9" w:rsidRPr="00FD6A6E">
        <w:rPr>
          <w:i/>
        </w:rPr>
        <w:t>: Unknown Poetry of Tahirih</w:t>
      </w:r>
      <w:r w:rsidRPr="00FD6A6E">
        <w:t xml:space="preserve">.  After studying the manuscript, Banani insisted that there was nothing of literary </w:t>
      </w:r>
      <w:r w:rsidR="004442D9" w:rsidRPr="00FD6A6E">
        <w:t>value there.  He refused to</w:t>
      </w:r>
      <w:r w:rsidRPr="00FD6A6E">
        <w:t xml:space="preserve"> translate the </w:t>
      </w:r>
      <w:r w:rsidR="004442D9" w:rsidRPr="00FD6A6E">
        <w:t>verse</w:t>
      </w:r>
      <w:r w:rsidR="00394991" w:rsidRPr="00FD6A6E">
        <w:t>s</w:t>
      </w:r>
      <w:r w:rsidR="004442D9" w:rsidRPr="00FD6A6E">
        <w:t>, despite my repeated pleas to reconsider</w:t>
      </w:r>
      <w:r w:rsidRPr="00FD6A6E">
        <w:t xml:space="preserve">, </w:t>
      </w:r>
      <w:r w:rsidR="003E3A99" w:rsidRPr="00FD6A6E">
        <w:t xml:space="preserve">because he did not feel that the work represented Tahirih as a poet.  </w:t>
      </w:r>
      <w:r w:rsidR="00394991" w:rsidRPr="00FD6A6E">
        <w:t xml:space="preserve">He regarded the verses as prose.  </w:t>
      </w:r>
      <w:r w:rsidR="003E3A99" w:rsidRPr="00FD6A6E">
        <w:t>(</w:t>
      </w:r>
      <w:r w:rsidR="004442D9" w:rsidRPr="00FD6A6E">
        <w:t>To</w:t>
      </w:r>
      <w:r w:rsidR="003E3A99" w:rsidRPr="00FD6A6E">
        <w:t xml:space="preserve"> my </w:t>
      </w:r>
      <w:r w:rsidR="00394991" w:rsidRPr="00FD6A6E">
        <w:t>utter</w:t>
      </w:r>
      <w:r w:rsidR="003E3A99" w:rsidRPr="00FD6A6E">
        <w:t xml:space="preserve"> </w:t>
      </w:r>
      <w:r w:rsidR="00E077FA" w:rsidRPr="00FD6A6E">
        <w:t>de</w:t>
      </w:r>
      <w:r w:rsidR="00394991" w:rsidRPr="00FD6A6E">
        <w:t>s</w:t>
      </w:r>
      <w:r w:rsidR="00E077FA" w:rsidRPr="00FD6A6E">
        <w:t>pair</w:t>
      </w:r>
      <w:r w:rsidR="003E3A99" w:rsidRPr="00FD6A6E">
        <w:t xml:space="preserve">.)  </w:t>
      </w:r>
    </w:p>
    <w:p w14:paraId="5DAB6870" w14:textId="77777777" w:rsidR="004A2236" w:rsidRPr="00FD6A6E" w:rsidRDefault="003E3A99" w:rsidP="000C02F9">
      <w:pPr>
        <w:spacing w:line="480" w:lineRule="auto"/>
      </w:pPr>
      <w:r w:rsidRPr="00FD6A6E">
        <w:tab/>
        <w:t xml:space="preserve">As for the poems that Banani did choose for translation, many of them had already been translated in an earlier volume, </w:t>
      </w:r>
      <w:r w:rsidRPr="00FD6A6E">
        <w:rPr>
          <w:i/>
        </w:rPr>
        <w:t>Poetry</w:t>
      </w:r>
      <w:r w:rsidR="003F0DC0" w:rsidRPr="00FD6A6E">
        <w:rPr>
          <w:i/>
        </w:rPr>
        <w:t xml:space="preserve"> of Tahirih</w:t>
      </w:r>
      <w:r w:rsidR="003F0DC0" w:rsidRPr="00FD6A6E">
        <w:t xml:space="preserve">, also by Hatcher and </w:t>
      </w:r>
      <w:proofErr w:type="spellStart"/>
      <w:r w:rsidR="003F0DC0" w:rsidRPr="00FD6A6E">
        <w:t>Hemmat</w:t>
      </w:r>
      <w:proofErr w:type="spellEnd"/>
      <w:r w:rsidR="003F0DC0" w:rsidRPr="00FD6A6E">
        <w:t xml:space="preserve">.  </w:t>
      </w:r>
      <w:r w:rsidR="004442D9" w:rsidRPr="00FD6A6E">
        <w:t xml:space="preserve">Banani’s </w:t>
      </w:r>
      <w:r w:rsidR="004A2236" w:rsidRPr="00FD6A6E">
        <w:t xml:space="preserve">collection was more selective.  He declined to translate a number of poems he felt were probably not by Tahirih.  His judgments were based in part on the scant manuscript record that we have of </w:t>
      </w:r>
      <w:r w:rsidR="00394991" w:rsidRPr="00FD6A6E">
        <w:t>the poems.  But a</w:t>
      </w:r>
      <w:r w:rsidR="004A2236" w:rsidRPr="00FD6A6E">
        <w:t>ll of the poems attributed to Tahirih are of doubtful provenance.  Mostly, he relied on the internal evidence of the poems themselves</w:t>
      </w:r>
      <w:r w:rsidR="00394991" w:rsidRPr="00FD6A6E">
        <w:t>:</w:t>
      </w:r>
      <w:r w:rsidR="004A2236" w:rsidRPr="00FD6A6E">
        <w:t xml:space="preserve"> the vocabulary, </w:t>
      </w:r>
      <w:r w:rsidR="00394991" w:rsidRPr="00FD6A6E">
        <w:t xml:space="preserve">the words, </w:t>
      </w:r>
      <w:r w:rsidR="004A2236" w:rsidRPr="00FD6A6E">
        <w:t xml:space="preserve">tone, and style of each poem.  </w:t>
      </w:r>
    </w:p>
    <w:p w14:paraId="13D28BD5" w14:textId="77777777" w:rsidR="008D632A" w:rsidRPr="00FD6A6E" w:rsidRDefault="008D632A" w:rsidP="000C02F9">
      <w:pPr>
        <w:spacing w:line="480" w:lineRule="auto"/>
      </w:pPr>
    </w:p>
    <w:p w14:paraId="0F4B1744" w14:textId="77777777" w:rsidR="00B7292E" w:rsidRPr="00FD6A6E" w:rsidRDefault="004A2236" w:rsidP="000C02F9">
      <w:pPr>
        <w:spacing w:line="480" w:lineRule="auto"/>
        <w:rPr>
          <w:b/>
        </w:rPr>
      </w:pPr>
      <w:r w:rsidRPr="00FD6A6E">
        <w:rPr>
          <w:b/>
        </w:rPr>
        <w:t>Universality and Justice</w:t>
      </w:r>
    </w:p>
    <w:p w14:paraId="4EC8379C" w14:textId="77777777" w:rsidR="000C2548" w:rsidRPr="00FD6A6E" w:rsidRDefault="004A2236" w:rsidP="000C02F9">
      <w:pPr>
        <w:spacing w:line="480" w:lineRule="auto"/>
      </w:pPr>
      <w:r w:rsidRPr="00FD6A6E">
        <w:t xml:space="preserve">The most startling theological principle that emerges from Banani’s selection of </w:t>
      </w:r>
      <w:proofErr w:type="spellStart"/>
      <w:r w:rsidRPr="00FD6A6E">
        <w:t>Tahirih’s</w:t>
      </w:r>
      <w:proofErr w:type="spellEnd"/>
      <w:r w:rsidRPr="00FD6A6E">
        <w:t xml:space="preserve"> poems is that of universal love and </w:t>
      </w:r>
      <w:r w:rsidR="00B7292E" w:rsidRPr="00FD6A6E">
        <w:t>her call</w:t>
      </w:r>
      <w:r w:rsidRPr="00FD6A6E">
        <w:t xml:space="preserve"> for equality, social justice, and world peace.  Since these are not common themes </w:t>
      </w:r>
      <w:r w:rsidR="00394991" w:rsidRPr="00FD6A6E">
        <w:t xml:space="preserve">found </w:t>
      </w:r>
      <w:r w:rsidRPr="00FD6A6E">
        <w:t xml:space="preserve">in the writings of the Bab or of other Babi leaders, </w:t>
      </w:r>
      <w:r w:rsidR="000C2548" w:rsidRPr="00FD6A6E">
        <w:t>these poems stand out as prescient, prophetic, and almost miraculous.  The first poem in Banani’s compilation reads:</w:t>
      </w:r>
    </w:p>
    <w:p w14:paraId="720A4671" w14:textId="77777777" w:rsidR="000C2548" w:rsidRPr="00FD6A6E" w:rsidRDefault="000C2548" w:rsidP="0039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FD6A6E">
        <w:rPr>
          <w:b/>
          <w:color w:val="000000"/>
        </w:rPr>
        <w:t>Look Up!</w:t>
      </w:r>
      <w:r w:rsidRPr="00FD6A6E">
        <w:rPr>
          <w:b/>
          <w:color w:val="000000"/>
        </w:rPr>
        <w:br/>
      </w:r>
      <w:r w:rsidRPr="00FD6A6E">
        <w:rPr>
          <w:color w:val="000000"/>
        </w:rPr>
        <w:br/>
      </w:r>
      <w:r w:rsidRPr="00FD6A6E">
        <w:t>Look up!  Our dawning day draws its first breath!</w:t>
      </w:r>
    </w:p>
    <w:p w14:paraId="0F3D570A" w14:textId="77777777" w:rsidR="000C2548" w:rsidRPr="00FD6A6E" w:rsidRDefault="000C2548" w:rsidP="0039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color w:val="000000"/>
        </w:rPr>
      </w:pPr>
      <w:r w:rsidRPr="00FD6A6E">
        <w:rPr>
          <w:color w:val="000000"/>
        </w:rPr>
        <w:t>The world grows light!  Our souls begin to glow</w:t>
      </w:r>
      <w:r w:rsidRPr="00FD6A6E">
        <w:rPr>
          <w:color w:val="000000"/>
        </w:rPr>
        <w:br/>
      </w:r>
      <w:r w:rsidRPr="00FD6A6E">
        <w:rPr>
          <w:color w:val="000000"/>
        </w:rPr>
        <w:br/>
      </w:r>
      <w:r w:rsidRPr="00FD6A6E">
        <w:rPr>
          <w:color w:val="000000"/>
        </w:rPr>
        <w:lastRenderedPageBreak/>
        <w:t>No ranting shaykh rules from his pulpit throne</w:t>
      </w:r>
      <w:r w:rsidRPr="00FD6A6E">
        <w:rPr>
          <w:color w:val="000000"/>
        </w:rPr>
        <w:br/>
        <w:t>No mosque hawks holiness it does not know</w:t>
      </w:r>
      <w:r w:rsidRPr="00FD6A6E">
        <w:rPr>
          <w:color w:val="000000"/>
        </w:rPr>
        <w:br/>
      </w:r>
      <w:r w:rsidRPr="00FD6A6E">
        <w:rPr>
          <w:color w:val="000000"/>
        </w:rPr>
        <w:br/>
        <w:t>No sham, no pious fraud, no priest commands!</w:t>
      </w:r>
      <w:r w:rsidRPr="00FD6A6E">
        <w:rPr>
          <w:color w:val="000000"/>
        </w:rPr>
        <w:br/>
        <w:t>The turban’s knot cut to its root below!</w:t>
      </w:r>
      <w:r w:rsidRPr="00FD6A6E">
        <w:rPr>
          <w:color w:val="000000"/>
        </w:rPr>
        <w:br/>
      </w:r>
    </w:p>
    <w:p w14:paraId="3F40C305" w14:textId="77777777" w:rsidR="000C2548" w:rsidRPr="00FD6A6E" w:rsidRDefault="000C2548" w:rsidP="0039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FD6A6E">
        <w:rPr>
          <w:color w:val="000000"/>
        </w:rPr>
        <w:t>No more conjurations! No spells! No ghosts!</w:t>
      </w:r>
      <w:r w:rsidRPr="00FD6A6E">
        <w:rPr>
          <w:color w:val="000000"/>
        </w:rPr>
        <w:br/>
        <w:t>Good riddance!  We are done with folly's show!</w:t>
      </w:r>
      <w:r w:rsidRPr="00FD6A6E">
        <w:rPr>
          <w:color w:val="000000"/>
        </w:rPr>
        <w:br/>
      </w:r>
      <w:r w:rsidRPr="00FD6A6E">
        <w:rPr>
          <w:color w:val="000000"/>
        </w:rPr>
        <w:br/>
        <w:t>The search for Truth shall drive out ignorance</w:t>
      </w:r>
      <w:r w:rsidRPr="00FD6A6E">
        <w:rPr>
          <w:color w:val="000000"/>
        </w:rPr>
        <w:br/>
        <w:t>Equality shall strike the despots low</w:t>
      </w:r>
      <w:r w:rsidRPr="00FD6A6E">
        <w:rPr>
          <w:color w:val="000000"/>
        </w:rPr>
        <w:br/>
      </w:r>
      <w:r w:rsidRPr="00FD6A6E">
        <w:rPr>
          <w:color w:val="000000"/>
        </w:rPr>
        <w:br/>
        <w:t>Let warring ways be banished from the world</w:t>
      </w:r>
      <w:r w:rsidRPr="00FD6A6E">
        <w:rPr>
          <w:color w:val="000000"/>
        </w:rPr>
        <w:br/>
        <w:t>Let Justice everywhere its carpet throw</w:t>
      </w:r>
      <w:r w:rsidRPr="00FD6A6E">
        <w:rPr>
          <w:color w:val="000000"/>
        </w:rPr>
        <w:br/>
      </w:r>
      <w:r w:rsidRPr="00FD6A6E">
        <w:rPr>
          <w:color w:val="000000"/>
        </w:rPr>
        <w:br/>
        <w:t>May Friendship ancient hatreds reconcile</w:t>
      </w:r>
      <w:r w:rsidRPr="00FD6A6E">
        <w:rPr>
          <w:color w:val="000000"/>
        </w:rPr>
        <w:br/>
      </w:r>
      <w:r w:rsidRPr="00FD6A6E">
        <w:t>May love grow from the seed of love we sow!</w:t>
      </w:r>
      <w:r w:rsidR="00EA6450" w:rsidRPr="00FD6A6E">
        <w:rPr>
          <w:rStyle w:val="FootnoteReference"/>
        </w:rPr>
        <w:footnoteReference w:id="10"/>
      </w:r>
    </w:p>
    <w:p w14:paraId="32866CFC" w14:textId="77777777" w:rsidR="000C2548" w:rsidRPr="00FD6A6E" w:rsidRDefault="000C2548" w:rsidP="000C02F9">
      <w:pPr>
        <w:spacing w:line="480" w:lineRule="auto"/>
      </w:pPr>
    </w:p>
    <w:p w14:paraId="6A0FD50A" w14:textId="77777777" w:rsidR="0059797A" w:rsidRPr="00FD6A6E" w:rsidRDefault="000C2548" w:rsidP="000C02F9">
      <w:pPr>
        <w:spacing w:line="480" w:lineRule="auto"/>
      </w:pPr>
      <w:r w:rsidRPr="00FD6A6E">
        <w:t xml:space="preserve">When I first read this poem, it seemed to me to be so filled with Baha’i ideas that I refused to believe it had been written by Tahirih.  </w:t>
      </w:r>
      <w:r w:rsidR="00394991" w:rsidRPr="00FD6A6E">
        <w:t xml:space="preserve">Surely, this was a later Baha’i invention.  </w:t>
      </w:r>
      <w:r w:rsidRPr="00FD6A6E">
        <w:t>The independent investigation of truth, equality of all people, justice, world peace, universal love and friendship</w:t>
      </w:r>
      <w:r w:rsidR="00BF285D" w:rsidRPr="00FD6A6E">
        <w:t>—this seemed to me to be the work of some Baha’i poet.  Banani assured me, however, that the work can safely be attributed to Tahirih.</w:t>
      </w:r>
      <w:r w:rsidR="00B7292E" w:rsidRPr="00FD6A6E">
        <w:rPr>
          <w:rStyle w:val="FootnoteReference"/>
        </w:rPr>
        <w:footnoteReference w:id="11"/>
      </w:r>
      <w:r w:rsidR="00BF285D" w:rsidRPr="00FD6A6E">
        <w:t xml:space="preserve">  </w:t>
      </w:r>
      <w:r w:rsidR="00CA054F" w:rsidRPr="00FD6A6E">
        <w:tab/>
      </w:r>
    </w:p>
    <w:p w14:paraId="7C6CC422" w14:textId="77777777" w:rsidR="00CA054F" w:rsidRPr="00FD6A6E" w:rsidRDefault="00CA054F" w:rsidP="0059797A">
      <w:pPr>
        <w:spacing w:line="480" w:lineRule="auto"/>
        <w:ind w:firstLine="720"/>
      </w:pPr>
      <w:r w:rsidRPr="00FD6A6E">
        <w:t xml:space="preserve">After brilliant opening lines testifying to the coming of a new era in human history, Tahirih goes on to denounce the ulama with vehemence that is not unexpected for a Babi leader.  But when she turns to her vision of a new world coming, we are suddenly in new territory.  It is a vision that was unheard of in Iran in the 1850s, including among </w:t>
      </w:r>
      <w:r w:rsidR="00394991" w:rsidRPr="00FD6A6E">
        <w:t xml:space="preserve">her </w:t>
      </w:r>
      <w:r w:rsidRPr="00FD6A6E">
        <w:t>fellow Babis, and would remain unknown until Baha’u’llah articulated a similar program in his Tablets revealed after the Kitab-</w:t>
      </w:r>
      <w:r w:rsidR="00394991" w:rsidRPr="00FD6A6E">
        <w:t>i</w:t>
      </w:r>
      <w:r w:rsidRPr="00FD6A6E">
        <w:t xml:space="preserve"> Aqdas (1873).  A world without despotism, where the search for truth would destroy despots, where equality and justice are central principles, where ancient hatreds would be forgotten, and peace and universal love would replace them.  </w:t>
      </w:r>
      <w:r w:rsidRPr="00FD6A6E">
        <w:lastRenderedPageBreak/>
        <w:t xml:space="preserve">Iranian literature would not </w:t>
      </w:r>
      <w:r w:rsidR="001F0ACD" w:rsidRPr="00FD6A6E">
        <w:t>produce</w:t>
      </w:r>
      <w:r w:rsidRPr="00FD6A6E">
        <w:t xml:space="preserve"> any poems like that until the Constitutional Revolution, after the turn of the century.  </w:t>
      </w:r>
    </w:p>
    <w:p w14:paraId="73AD54F1" w14:textId="77777777" w:rsidR="003D469D" w:rsidRPr="00FD6A6E" w:rsidRDefault="00BF285D" w:rsidP="000C02F9">
      <w:pPr>
        <w:spacing w:line="480" w:lineRule="auto"/>
      </w:pPr>
      <w:r w:rsidRPr="00FD6A6E">
        <w:tab/>
      </w:r>
      <w:r w:rsidR="00B53CAD" w:rsidRPr="00FD6A6E">
        <w:t>Despite my skepticism,</w:t>
      </w:r>
      <w:r w:rsidR="00CA054F" w:rsidRPr="00FD6A6E">
        <w:t xml:space="preserve"> often expressed to Banani</w:t>
      </w:r>
      <w:r w:rsidR="00394991" w:rsidRPr="00FD6A6E">
        <w:t>,</w:t>
      </w:r>
      <w:r w:rsidR="00CA054F" w:rsidRPr="00FD6A6E">
        <w:t xml:space="preserve"> that this poem could possibly have been written by Tahirih, we can find similar sentiments in other poems.  Her poem “Lovers!” ends with the lines:  </w:t>
      </w:r>
    </w:p>
    <w:p w14:paraId="5BA0A6D9" w14:textId="77777777" w:rsidR="005B0894" w:rsidRPr="00FD6A6E" w:rsidRDefault="005B0894" w:rsidP="005B0894">
      <w:pPr>
        <w:ind w:left="990"/>
      </w:pPr>
      <w:r w:rsidRPr="00FD6A6E">
        <w:t>. . .  The day of truth is here!  Lies have turned to dust!</w:t>
      </w:r>
    </w:p>
    <w:p w14:paraId="3D2DB211" w14:textId="77777777" w:rsidR="00CA054F" w:rsidRPr="00FD6A6E" w:rsidRDefault="005B0894" w:rsidP="005B0894">
      <w:pPr>
        <w:ind w:left="1440"/>
      </w:pPr>
      <w:r w:rsidRPr="00FD6A6E">
        <w:t>Order, justice, law are now possible.</w:t>
      </w:r>
      <w:r w:rsidRPr="00FD6A6E">
        <w:br/>
      </w:r>
      <w:r w:rsidRPr="00FD6A6E">
        <w:br/>
        <w:t>Smashed, the despot’s fist!  God’s hand opens:</w:t>
      </w:r>
      <w:r w:rsidRPr="00FD6A6E">
        <w:br/>
        <w:t>grace pours down—not sorrow, pain, and trouble</w:t>
      </w:r>
      <w:r w:rsidRPr="00FD6A6E">
        <w:br/>
      </w:r>
      <w:r w:rsidRPr="00FD6A6E">
        <w:br/>
        <w:t>Minds in darkness now burn light with knowledge</w:t>
      </w:r>
      <w:r w:rsidRPr="00FD6A6E">
        <w:br/>
        <w:t>Tell the priest: Shut your book!  Lock the temple!</w:t>
      </w:r>
      <w:r w:rsidRPr="00FD6A6E">
        <w:br/>
      </w:r>
      <w:r w:rsidRPr="00FD6A6E">
        <w:br/>
        <w:t>Hatred and doubt once poisoned all the world.</w:t>
      </w:r>
      <w:r w:rsidRPr="00FD6A6E">
        <w:br/>
        <w:t>The bloodied cup holds milk now—pure, ample!</w:t>
      </w:r>
      <w:r w:rsidRPr="00FD6A6E">
        <w:br/>
      </w:r>
      <w:r w:rsidRPr="00FD6A6E">
        <w:br/>
        <w:t>Let nations hear who’s come to set them free:</w:t>
      </w:r>
      <w:r w:rsidRPr="00FD6A6E">
        <w:br/>
        <w:t>Broken the chain, and smashed the manacle!</w:t>
      </w:r>
      <w:r w:rsidR="00EA6450" w:rsidRPr="00FD6A6E">
        <w:rPr>
          <w:rStyle w:val="FootnoteReference"/>
        </w:rPr>
        <w:footnoteReference w:id="12"/>
      </w:r>
      <w:r w:rsidR="003D469D" w:rsidRPr="00FD6A6E">
        <w:br/>
      </w:r>
      <w:r w:rsidRPr="00FD6A6E">
        <w:br/>
      </w:r>
    </w:p>
    <w:p w14:paraId="1D150AD9" w14:textId="77777777" w:rsidR="005B0894" w:rsidRPr="00FD6A6E" w:rsidRDefault="005B0894" w:rsidP="003D469D">
      <w:pPr>
        <w:spacing w:line="480" w:lineRule="auto"/>
      </w:pPr>
      <w:r w:rsidRPr="00FD6A6E">
        <w:t>Here the same themes are present.  So, the first poem is not unique.  Both poems illustrate a kind of proto-Baha’i ideal of the coming of a new age that will realize the unity of humanity.  Likewise, the poem “No One Else,” although it is a classic Sufi love poem, ends with the lines:</w:t>
      </w:r>
    </w:p>
    <w:p w14:paraId="4B4DE40C" w14:textId="77777777" w:rsidR="005B0894" w:rsidRPr="00FD6A6E" w:rsidRDefault="005B0894" w:rsidP="005B0894">
      <w:pPr>
        <w:ind w:left="1440"/>
      </w:pPr>
      <w:r w:rsidRPr="00FD6A6E">
        <w:t xml:space="preserve">Kindness blossoms as a gentle flower </w:t>
      </w:r>
      <w:r w:rsidRPr="00FD6A6E">
        <w:br/>
        <w:t>Harmony</w:t>
      </w:r>
      <w:r w:rsidR="003D469D" w:rsidRPr="00FD6A6E">
        <w:t xml:space="preserve"> stands on the carpet of </w:t>
      </w:r>
      <w:r w:rsidRPr="00FD6A6E">
        <w:t>power</w:t>
      </w:r>
      <w:r w:rsidRPr="00FD6A6E">
        <w:rPr>
          <w:rStyle w:val="FootnoteReference"/>
        </w:rPr>
        <w:footnoteReference w:id="13"/>
      </w:r>
    </w:p>
    <w:p w14:paraId="06328990" w14:textId="77777777" w:rsidR="008D632A" w:rsidRPr="00FD6A6E" w:rsidRDefault="008D632A" w:rsidP="005B0894">
      <w:pPr>
        <w:ind w:left="1440"/>
      </w:pPr>
    </w:p>
    <w:p w14:paraId="5BD40DB0" w14:textId="77777777" w:rsidR="008D632A" w:rsidRPr="00FD6A6E" w:rsidRDefault="008D632A" w:rsidP="005B0894">
      <w:pPr>
        <w:ind w:left="1440"/>
      </w:pPr>
    </w:p>
    <w:p w14:paraId="711DF180" w14:textId="77777777" w:rsidR="000C2548" w:rsidRPr="00FD6A6E" w:rsidRDefault="001F0ACD" w:rsidP="000C02F9">
      <w:pPr>
        <w:spacing w:line="480" w:lineRule="auto"/>
      </w:pPr>
      <w:r w:rsidRPr="00FD6A6E">
        <w:rPr>
          <w:b/>
        </w:rPr>
        <w:t xml:space="preserve">Antinomian Sentiments </w:t>
      </w:r>
    </w:p>
    <w:p w14:paraId="24C6B02A" w14:textId="77777777" w:rsidR="001F0ACD" w:rsidRPr="00FD6A6E" w:rsidRDefault="001F0ACD" w:rsidP="000C02F9">
      <w:pPr>
        <w:spacing w:line="480" w:lineRule="auto"/>
      </w:pPr>
      <w:r w:rsidRPr="00FD6A6E">
        <w:t>Another striking motif that is found in the poems of Tahirih is her repeated reference to the removal of veils, as well as to nudity as a symbol of spiritual purity</w:t>
      </w:r>
      <w:r w:rsidR="003D469D" w:rsidRPr="00FD6A6E">
        <w:t>, to exposure, and to clothing of light</w:t>
      </w:r>
      <w:r w:rsidRPr="00FD6A6E">
        <w:t xml:space="preserve">.  In some ways, these may be thought of as well-known and well-used metaphors found in the works of all Sufi </w:t>
      </w:r>
      <w:r w:rsidRPr="00FD6A6E">
        <w:lastRenderedPageBreak/>
        <w:t>poets.  But in the poems of Tahirih, who actually removed her veil, they certainly take on a new significance</w:t>
      </w:r>
      <w:r w:rsidR="003D469D" w:rsidRPr="00FD6A6E">
        <w:t xml:space="preserve"> and concrete social meaning</w:t>
      </w:r>
      <w:r w:rsidRPr="00FD6A6E">
        <w:t>.  She was willing to take these symbol</w:t>
      </w:r>
      <w:r w:rsidR="00CA4D11" w:rsidRPr="00FD6A6E">
        <w:t>s from the world of mystic reverie</w:t>
      </w:r>
      <w:r w:rsidRPr="00FD6A6E">
        <w:t xml:space="preserve"> into the world of reality and action.  </w:t>
      </w:r>
    </w:p>
    <w:p w14:paraId="75610E0D" w14:textId="77777777" w:rsidR="001F0ACD" w:rsidRPr="00FD6A6E" w:rsidRDefault="001F0ACD" w:rsidP="000C02F9">
      <w:pPr>
        <w:spacing w:line="480" w:lineRule="auto"/>
      </w:pPr>
      <w:r w:rsidRPr="00FD6A6E">
        <w:tab/>
        <w:t xml:space="preserve">Sufi metaphor or not, her poem “Proclamation” must have seemed shocking in the time and place that it was written:  </w:t>
      </w:r>
    </w:p>
    <w:p w14:paraId="2764FDEA" w14:textId="77777777" w:rsidR="001C2DF9" w:rsidRPr="00FD6A6E" w:rsidRDefault="001C2DF9" w:rsidP="007553D4">
      <w:pPr>
        <w:ind w:left="1080"/>
        <w:rPr>
          <w:rFonts w:eastAsia="Times"/>
        </w:rPr>
      </w:pPr>
      <w:r w:rsidRPr="00FD6A6E">
        <w:t>Hear this! My one and only Cause is true.</w:t>
      </w:r>
      <w:r w:rsidRPr="00FD6A6E">
        <w:br/>
        <w:t>The words I speak mean victory for you.</w:t>
      </w:r>
      <w:r w:rsidRPr="00FD6A6E">
        <w:br/>
      </w:r>
      <w:r w:rsidRPr="00FD6A6E">
        <w:br/>
        <w:t>Off with rags of law and pious fashion!</w:t>
      </w:r>
      <w:r w:rsidRPr="00FD6A6E">
        <w:br/>
        <w:t>Swim naked in the sea of compassion!</w:t>
      </w:r>
      <w:r w:rsidRPr="00FD6A6E">
        <w:br/>
      </w:r>
      <w:r w:rsidRPr="00FD6A6E">
        <w:br/>
        <w:t>How long will you drift through this world of war,</w:t>
      </w:r>
      <w:r w:rsidRPr="00FD6A6E">
        <w:br/>
        <w:t>far from the safety of your native shore?</w:t>
      </w:r>
      <w:r w:rsidRPr="00FD6A6E">
        <w:br/>
      </w:r>
      <w:r w:rsidRPr="00FD6A6E">
        <w:br/>
        <w:t xml:space="preserve">Sing, </w:t>
      </w:r>
      <w:r w:rsidRPr="00FD6A6E">
        <w:rPr>
          <w:i/>
          <w:iCs/>
        </w:rPr>
        <w:t>Be! </w:t>
      </w:r>
      <w:r w:rsidRPr="00FD6A6E">
        <w:t xml:space="preserve"> Our Cause stands strong, both clear and plain:</w:t>
      </w:r>
    </w:p>
    <w:p w14:paraId="686DB0C7" w14:textId="77777777" w:rsidR="001C2DF9" w:rsidRPr="00FD6A6E" w:rsidRDefault="001C2DF9" w:rsidP="007553D4">
      <w:pPr>
        <w:pStyle w:val="BodyTextIndent2"/>
        <w:ind w:left="900"/>
        <w:rPr>
          <w:szCs w:val="24"/>
        </w:rPr>
      </w:pPr>
      <w:r w:rsidRPr="00FD6A6E">
        <w:rPr>
          <w:szCs w:val="24"/>
        </w:rPr>
        <w:t xml:space="preserve">  “What comes from God returns to God again!”</w:t>
      </w:r>
      <w:r w:rsidRPr="00FD6A6E">
        <w:rPr>
          <w:rStyle w:val="FootnoteReference"/>
          <w:szCs w:val="24"/>
        </w:rPr>
        <w:footnoteReference w:id="14"/>
      </w:r>
    </w:p>
    <w:p w14:paraId="5323BA07" w14:textId="77777777" w:rsidR="001C2DF9" w:rsidRPr="00FD6A6E" w:rsidRDefault="001C2DF9" w:rsidP="007553D4">
      <w:pPr>
        <w:ind w:left="540"/>
      </w:pPr>
    </w:p>
    <w:p w14:paraId="1CA4826D" w14:textId="77777777" w:rsidR="001F0ACD" w:rsidRPr="00FD6A6E" w:rsidRDefault="001C2DF9" w:rsidP="001C2DF9">
      <w:pPr>
        <w:spacing w:line="480" w:lineRule="auto"/>
      </w:pPr>
      <w:r w:rsidRPr="00FD6A6E">
        <w:t>Such references can be found in most of her mystic poems.  In “He Has Come”:</w:t>
      </w:r>
    </w:p>
    <w:p w14:paraId="6E2C47F1" w14:textId="77777777" w:rsidR="001C2DF9" w:rsidRPr="00FD6A6E" w:rsidRDefault="001C2DF9" w:rsidP="001C2DF9">
      <w:pPr>
        <w:ind w:left="1080"/>
      </w:pPr>
      <w:r w:rsidRPr="00FD6A6E">
        <w:t>Its fire burns our world with wild delight</w:t>
      </w:r>
    </w:p>
    <w:p w14:paraId="33D0D92B" w14:textId="77777777" w:rsidR="001C2DF9" w:rsidRPr="00FD6A6E" w:rsidRDefault="001C2DF9" w:rsidP="001C2DF9">
      <w:pPr>
        <w:pStyle w:val="Heading2"/>
        <w:ind w:left="1080"/>
        <w:jc w:val="left"/>
        <w:rPr>
          <w:i w:val="0"/>
          <w:iCs w:val="0"/>
          <w:szCs w:val="24"/>
        </w:rPr>
      </w:pPr>
      <w:r w:rsidRPr="00FD6A6E">
        <w:rPr>
          <w:i w:val="0"/>
          <w:iCs w:val="0"/>
          <w:szCs w:val="24"/>
        </w:rPr>
        <w:t>Stripped bare we stand: we’re made of purest light!</w:t>
      </w:r>
    </w:p>
    <w:p w14:paraId="6E2820C2" w14:textId="77777777" w:rsidR="001C2DF9" w:rsidRPr="00FD6A6E" w:rsidRDefault="001C2DF9" w:rsidP="001C2DF9">
      <w:pPr>
        <w:ind w:left="1080"/>
      </w:pPr>
    </w:p>
    <w:p w14:paraId="147DA006" w14:textId="77777777" w:rsidR="001C2DF9" w:rsidRPr="00FD6A6E" w:rsidRDefault="001C2DF9" w:rsidP="001C2DF9">
      <w:pPr>
        <w:ind w:left="1080"/>
      </w:pPr>
      <w:r w:rsidRPr="00FD6A6E">
        <w:t>Lift the veil, Táhirih!  He’s now exposed!</w:t>
      </w:r>
    </w:p>
    <w:p w14:paraId="3270CF3C" w14:textId="77777777" w:rsidR="001C2DF9" w:rsidRPr="00FD6A6E" w:rsidRDefault="001C2DF9" w:rsidP="001C2DF9">
      <w:pPr>
        <w:ind w:left="1080"/>
      </w:pPr>
      <w:r w:rsidRPr="00FD6A6E">
        <w:t>His hidden mystery has been disclosed!</w:t>
      </w:r>
    </w:p>
    <w:p w14:paraId="2CCB0E75" w14:textId="77777777" w:rsidR="001C2DF9" w:rsidRPr="00FD6A6E" w:rsidRDefault="001C2DF9" w:rsidP="001C2DF9">
      <w:pPr>
        <w:ind w:left="1080"/>
      </w:pPr>
    </w:p>
    <w:p w14:paraId="04F67A4C" w14:textId="77777777" w:rsidR="001C2DF9" w:rsidRPr="00FD6A6E" w:rsidRDefault="001C2DF9" w:rsidP="001C2DF9">
      <w:pPr>
        <w:ind w:left="1080"/>
      </w:pPr>
      <w:r w:rsidRPr="00FD6A6E">
        <w:t>And say: The Lord in glowing clothes is dressed!</w:t>
      </w:r>
    </w:p>
    <w:p w14:paraId="7EBE5646" w14:textId="77777777" w:rsidR="001C2DF9" w:rsidRPr="00FD6A6E" w:rsidRDefault="001C2DF9" w:rsidP="007952D5">
      <w:pPr>
        <w:ind w:left="1080"/>
      </w:pPr>
      <w:r w:rsidRPr="00FD6A6E">
        <w:t>Praised be his beauty, and forever blessed!</w:t>
      </w:r>
      <w:r w:rsidR="007952D5" w:rsidRPr="00FD6A6E">
        <w:rPr>
          <w:rStyle w:val="FootnoteReference"/>
        </w:rPr>
        <w:footnoteReference w:id="15"/>
      </w:r>
    </w:p>
    <w:p w14:paraId="6700C31F" w14:textId="77777777" w:rsidR="007952D5" w:rsidRPr="00FD6A6E" w:rsidRDefault="007952D5" w:rsidP="007952D5"/>
    <w:p w14:paraId="234A7AAB" w14:textId="77777777" w:rsidR="000C2548" w:rsidRPr="00FD6A6E" w:rsidRDefault="009B729F" w:rsidP="000C02F9">
      <w:pPr>
        <w:spacing w:line="480" w:lineRule="auto"/>
      </w:pPr>
      <w:r w:rsidRPr="00FD6A6E">
        <w:t>In “Morning Breezes”</w:t>
      </w:r>
    </w:p>
    <w:p w14:paraId="7B50B601" w14:textId="77777777" w:rsidR="007952D5" w:rsidRPr="00FD6A6E" w:rsidRDefault="007952D5" w:rsidP="007952D5">
      <w:pPr>
        <w:ind w:left="1080"/>
      </w:pPr>
      <w:r w:rsidRPr="00FD6A6E">
        <w:t>You Bábís from the province of pure Light!</w:t>
      </w:r>
    </w:p>
    <w:p w14:paraId="626333EE" w14:textId="77777777" w:rsidR="007952D5" w:rsidRPr="00FD6A6E" w:rsidRDefault="007952D5" w:rsidP="007952D5">
      <w:pPr>
        <w:ind w:left="1080"/>
      </w:pPr>
      <w:r w:rsidRPr="00FD6A6E">
        <w:t>Strip off your splendid veils, just look and see.</w:t>
      </w:r>
    </w:p>
    <w:p w14:paraId="12CC1D23" w14:textId="77777777" w:rsidR="007952D5" w:rsidRPr="00FD6A6E" w:rsidRDefault="007952D5" w:rsidP="007952D5">
      <w:pPr>
        <w:ind w:left="1080"/>
      </w:pPr>
    </w:p>
    <w:p w14:paraId="3B867BDE" w14:textId="77777777" w:rsidR="007952D5" w:rsidRPr="00FD6A6E" w:rsidRDefault="007952D5" w:rsidP="007952D5">
      <w:pPr>
        <w:ind w:left="1080"/>
      </w:pPr>
      <w:r w:rsidRPr="00FD6A6E">
        <w:t>Believers, he has thrown away his veil,</w:t>
      </w:r>
    </w:p>
    <w:p w14:paraId="314AB74F" w14:textId="77777777" w:rsidR="007952D5" w:rsidRPr="00FD6A6E" w:rsidRDefault="007952D5" w:rsidP="007952D5">
      <w:pPr>
        <w:ind w:left="1080"/>
      </w:pPr>
      <w:r w:rsidRPr="00FD6A6E">
        <w:t>so forget the verse “You will never behold me.”</w:t>
      </w:r>
      <w:r w:rsidRPr="00FD6A6E">
        <w:rPr>
          <w:rStyle w:val="FootnoteReference"/>
        </w:rPr>
        <w:footnoteReference w:id="16"/>
      </w:r>
    </w:p>
    <w:p w14:paraId="1A672C5D" w14:textId="77777777" w:rsidR="007952D5" w:rsidRPr="00FD6A6E" w:rsidRDefault="007952D5" w:rsidP="007952D5">
      <w:pPr>
        <w:spacing w:line="480" w:lineRule="auto"/>
      </w:pPr>
    </w:p>
    <w:p w14:paraId="031DBD63" w14:textId="77777777" w:rsidR="007952D5" w:rsidRPr="00FD6A6E" w:rsidRDefault="007952D5" w:rsidP="007952D5">
      <w:pPr>
        <w:spacing w:line="480" w:lineRule="auto"/>
      </w:pPr>
      <w:r w:rsidRPr="00FD6A6E">
        <w:t>From “His Drunken Eyes”:</w:t>
      </w:r>
    </w:p>
    <w:p w14:paraId="26F72B06" w14:textId="77777777" w:rsidR="007952D5" w:rsidRPr="00FD6A6E" w:rsidRDefault="007952D5" w:rsidP="007952D5">
      <w:pPr>
        <w:ind w:left="1080"/>
      </w:pPr>
      <w:r w:rsidRPr="00FD6A6E">
        <w:t>The goldsmith’s tent glows bright from his fire-brand</w:t>
      </w:r>
    </w:p>
    <w:p w14:paraId="733A5787" w14:textId="77777777" w:rsidR="007952D5" w:rsidRPr="00FD6A6E" w:rsidRDefault="007952D5" w:rsidP="007952D5">
      <w:pPr>
        <w:ind w:left="1080"/>
      </w:pPr>
      <w:r w:rsidRPr="00FD6A6E">
        <w:t>All veils now burn away at his demand</w:t>
      </w:r>
      <w:r w:rsidRPr="00FD6A6E">
        <w:rPr>
          <w:rStyle w:val="FootnoteReference"/>
        </w:rPr>
        <w:footnoteReference w:id="17"/>
      </w:r>
    </w:p>
    <w:p w14:paraId="203CB86D" w14:textId="77777777" w:rsidR="007952D5" w:rsidRPr="00FD6A6E" w:rsidRDefault="007952D5" w:rsidP="007952D5">
      <w:pPr>
        <w:spacing w:line="480" w:lineRule="auto"/>
        <w:ind w:left="1440"/>
      </w:pPr>
    </w:p>
    <w:p w14:paraId="547BF41B" w14:textId="77777777" w:rsidR="000C2548" w:rsidRPr="00FD6A6E" w:rsidRDefault="00A107E1" w:rsidP="000C02F9">
      <w:pPr>
        <w:spacing w:line="480" w:lineRule="auto"/>
      </w:pPr>
      <w:r w:rsidRPr="00FD6A6E">
        <w:t>In “Friends Are Knocking at the Door,” in an appeal to God, Tahirih says:</w:t>
      </w:r>
    </w:p>
    <w:p w14:paraId="325086BA" w14:textId="77777777" w:rsidR="00A107E1" w:rsidRPr="00FD6A6E" w:rsidRDefault="00A107E1" w:rsidP="00A107E1">
      <w:pPr>
        <w:ind w:left="1080"/>
      </w:pPr>
      <w:r w:rsidRPr="00FD6A6E">
        <w:t xml:space="preserve">At least, why don’t you raise the window curtain? </w:t>
      </w:r>
    </w:p>
    <w:p w14:paraId="564D5C05" w14:textId="77777777" w:rsidR="00A107E1" w:rsidRPr="00FD6A6E" w:rsidRDefault="00A107E1" w:rsidP="00A107E1">
      <w:pPr>
        <w:ind w:left="1080"/>
      </w:pPr>
      <w:r w:rsidRPr="00FD6A6E">
        <w:t xml:space="preserve">Just peek out for once to show your face. </w:t>
      </w:r>
    </w:p>
    <w:p w14:paraId="70D00C79" w14:textId="77777777" w:rsidR="00A107E1" w:rsidRPr="00FD6A6E" w:rsidRDefault="00A107E1" w:rsidP="00A107E1">
      <w:pPr>
        <w:ind w:left="1080"/>
      </w:pPr>
    </w:p>
    <w:p w14:paraId="787B63EE" w14:textId="77777777" w:rsidR="00A107E1" w:rsidRPr="00FD6A6E" w:rsidRDefault="00A107E1" w:rsidP="00A107E1">
      <w:pPr>
        <w:ind w:left="1080"/>
      </w:pPr>
      <w:r w:rsidRPr="00FD6A6E">
        <w:t xml:space="preserve">They want nothing from you, except yourself. </w:t>
      </w:r>
    </w:p>
    <w:p w14:paraId="30B5A9E8" w14:textId="77777777" w:rsidR="00A107E1" w:rsidRPr="00FD6A6E" w:rsidRDefault="00A107E1" w:rsidP="00A107E1">
      <w:pPr>
        <w:ind w:left="1080"/>
      </w:pPr>
      <w:r w:rsidRPr="00FD6A6E">
        <w:t xml:space="preserve">The only thing they beg for is your grace.  </w:t>
      </w:r>
    </w:p>
    <w:p w14:paraId="4443FA47" w14:textId="77777777" w:rsidR="00A107E1" w:rsidRPr="00FD6A6E" w:rsidRDefault="00A107E1" w:rsidP="00A107E1">
      <w:pPr>
        <w:ind w:left="1080"/>
      </w:pPr>
    </w:p>
    <w:p w14:paraId="7EE55D31" w14:textId="77777777" w:rsidR="00A107E1" w:rsidRPr="00FD6A6E" w:rsidRDefault="00A107E1" w:rsidP="00A107E1">
      <w:pPr>
        <w:ind w:left="1080"/>
      </w:pPr>
      <w:r w:rsidRPr="00FD6A6E">
        <w:t xml:space="preserve">Outside, they got drunk on love—then sober. </w:t>
      </w:r>
    </w:p>
    <w:p w14:paraId="4035141E" w14:textId="77777777" w:rsidR="00A107E1" w:rsidRPr="00FD6A6E" w:rsidRDefault="00A107E1" w:rsidP="00A107E1">
      <w:pPr>
        <w:ind w:left="1080"/>
      </w:pPr>
      <w:r w:rsidRPr="00FD6A6E">
        <w:t xml:space="preserve">They didn’t care.  They’re longing for your place.  </w:t>
      </w:r>
    </w:p>
    <w:p w14:paraId="4F518B5A" w14:textId="77777777" w:rsidR="00A107E1" w:rsidRPr="00FD6A6E" w:rsidRDefault="00A107E1" w:rsidP="00A107E1">
      <w:pPr>
        <w:ind w:left="1080"/>
      </w:pPr>
    </w:p>
    <w:p w14:paraId="065BEE57" w14:textId="77777777" w:rsidR="00A107E1" w:rsidRPr="00FD6A6E" w:rsidRDefault="00A107E1" w:rsidP="00A107E1">
      <w:pPr>
        <w:ind w:left="1080"/>
      </w:pPr>
      <w:r w:rsidRPr="00FD6A6E">
        <w:t xml:space="preserve">They dropped their veils, forgot their desires, </w:t>
      </w:r>
    </w:p>
    <w:p w14:paraId="0FD32FA3" w14:textId="77777777" w:rsidR="00A107E1" w:rsidRPr="00FD6A6E" w:rsidRDefault="00A107E1" w:rsidP="00A107E1">
      <w:pPr>
        <w:ind w:left="1080"/>
      </w:pPr>
      <w:r w:rsidRPr="00FD6A6E">
        <w:t>gave up their search, and stripped to nudity.</w:t>
      </w:r>
    </w:p>
    <w:p w14:paraId="33D74440" w14:textId="77777777" w:rsidR="00A107E1" w:rsidRPr="00FD6A6E" w:rsidRDefault="00A107E1" w:rsidP="00A107E1">
      <w:pPr>
        <w:ind w:left="1080"/>
      </w:pPr>
    </w:p>
    <w:p w14:paraId="64622264" w14:textId="77777777" w:rsidR="00A107E1" w:rsidRPr="00FD6A6E" w:rsidRDefault="00A107E1" w:rsidP="00A107E1">
      <w:pPr>
        <w:ind w:left="1080"/>
      </w:pPr>
      <w:r w:rsidRPr="00FD6A6E">
        <w:t xml:space="preserve">Burn off the clouds now and show us the sun. </w:t>
      </w:r>
    </w:p>
    <w:p w14:paraId="23CE39AF" w14:textId="77777777" w:rsidR="00A107E1" w:rsidRPr="00FD6A6E" w:rsidRDefault="00A107E1" w:rsidP="00AC793A">
      <w:pPr>
        <w:ind w:left="1080"/>
      </w:pPr>
      <w:r w:rsidRPr="00FD6A6E">
        <w:t xml:space="preserve">Pull off the veil.  Let us see your beauty: . . . </w:t>
      </w:r>
    </w:p>
    <w:p w14:paraId="3987C2DF" w14:textId="77777777" w:rsidR="00AC793A" w:rsidRPr="00FD6A6E" w:rsidRDefault="00AC793A" w:rsidP="00AC793A">
      <w:pPr>
        <w:ind w:left="1080"/>
      </w:pPr>
    </w:p>
    <w:p w14:paraId="284BA5C0" w14:textId="77777777" w:rsidR="000C2548" w:rsidRPr="00FD6A6E" w:rsidRDefault="00A107E1" w:rsidP="000C02F9">
      <w:pPr>
        <w:spacing w:line="480" w:lineRule="auto"/>
      </w:pPr>
      <w:r w:rsidRPr="00FD6A6E">
        <w:t xml:space="preserve">Near the end of her long poem “From These Locks,” Tahirih goes beyond discarding the </w:t>
      </w:r>
      <w:proofErr w:type="spellStart"/>
      <w:r w:rsidRPr="00FD6A6E">
        <w:rPr>
          <w:i/>
        </w:rPr>
        <w:t>chadur</w:t>
      </w:r>
      <w:proofErr w:type="spellEnd"/>
      <w:r w:rsidRPr="00FD6A6E">
        <w:t>:</w:t>
      </w:r>
    </w:p>
    <w:p w14:paraId="79228E30" w14:textId="77777777" w:rsidR="00A107E1" w:rsidRPr="00FD6A6E" w:rsidRDefault="00A107E1" w:rsidP="00A107E1">
      <w:pPr>
        <w:widowControl w:val="0"/>
        <w:tabs>
          <w:tab w:val="left" w:pos="2250"/>
          <w:tab w:val="left" w:pos="2880"/>
        </w:tabs>
        <w:autoSpaceDE w:val="0"/>
        <w:autoSpaceDN w:val="0"/>
        <w:adjustRightInd w:val="0"/>
        <w:ind w:left="1440"/>
      </w:pPr>
      <w:r w:rsidRPr="00FD6A6E">
        <w:t>I’ll drop my robe, my prayer mat I’ll discard,</w:t>
      </w:r>
    </w:p>
    <w:p w14:paraId="3DB5C6AB" w14:textId="77777777" w:rsidR="00A107E1" w:rsidRPr="00FD6A6E" w:rsidRDefault="00A107E1" w:rsidP="009621CF">
      <w:pPr>
        <w:widowControl w:val="0"/>
        <w:tabs>
          <w:tab w:val="left" w:pos="2250"/>
          <w:tab w:val="left" w:pos="2880"/>
        </w:tabs>
        <w:autoSpaceDE w:val="0"/>
        <w:autoSpaceDN w:val="0"/>
        <w:adjustRightInd w:val="0"/>
        <w:ind w:left="1440"/>
      </w:pPr>
      <w:r w:rsidRPr="00FD6A6E">
        <w:t>drink till I'm drunk, and none of them regard</w:t>
      </w:r>
      <w:r w:rsidR="009621CF" w:rsidRPr="00FD6A6E">
        <w:t xml:space="preserve"> . . .</w:t>
      </w:r>
      <w:r w:rsidRPr="00FD6A6E">
        <w:rPr>
          <w:rStyle w:val="FootnoteReference"/>
        </w:rPr>
        <w:footnoteReference w:id="18"/>
      </w:r>
    </w:p>
    <w:p w14:paraId="01935216" w14:textId="77777777" w:rsidR="00A107E1" w:rsidRPr="00FD6A6E" w:rsidRDefault="00A107E1" w:rsidP="000C02F9">
      <w:pPr>
        <w:spacing w:line="480" w:lineRule="auto"/>
        <w:rPr>
          <w:b/>
          <w:sz w:val="20"/>
          <w:szCs w:val="20"/>
        </w:rPr>
      </w:pPr>
    </w:p>
    <w:p w14:paraId="0BC0BFCE" w14:textId="77777777" w:rsidR="007B48AC" w:rsidRPr="00FD6A6E" w:rsidRDefault="000D4887" w:rsidP="003D469D">
      <w:pPr>
        <w:spacing w:line="480" w:lineRule="auto"/>
        <w:ind w:firstLine="720"/>
      </w:pPr>
      <w:r w:rsidRPr="00FD6A6E">
        <w:t xml:space="preserve">This theme in many poems argues for the necessity of transgressing the boundaries of convention and decency in order to realize </w:t>
      </w:r>
      <w:r w:rsidR="00E077FA" w:rsidRPr="00FD6A6E">
        <w:t>an</w:t>
      </w:r>
      <w:r w:rsidRPr="00FD6A6E">
        <w:t xml:space="preserve"> encounter with the divine.  </w:t>
      </w:r>
      <w:proofErr w:type="spellStart"/>
      <w:r w:rsidR="007B48AC" w:rsidRPr="00FD6A6E">
        <w:t>Husam</w:t>
      </w:r>
      <w:proofErr w:type="spellEnd"/>
      <w:r w:rsidR="007B48AC" w:rsidRPr="00FD6A6E">
        <w:t xml:space="preserve"> </w:t>
      </w:r>
      <w:proofErr w:type="spellStart"/>
      <w:r w:rsidR="007B48AC" w:rsidRPr="00FD6A6E">
        <w:t>Nuqaba’i</w:t>
      </w:r>
      <w:proofErr w:type="spellEnd"/>
      <w:r w:rsidR="007B48AC" w:rsidRPr="00FD6A6E">
        <w:t xml:space="preserve"> recounts an event at the Conference of Badasht:  While Quddus was saying his prayers (presumably, </w:t>
      </w:r>
      <w:proofErr w:type="spellStart"/>
      <w:r w:rsidR="007B48AC" w:rsidRPr="00FD6A6E">
        <w:rPr>
          <w:i/>
        </w:rPr>
        <w:t>salat</w:t>
      </w:r>
      <w:proofErr w:type="spellEnd"/>
      <w:r w:rsidR="007B48AC" w:rsidRPr="00FD6A6E">
        <w:t>, the Islamic obligatory prayer which Tahirih opposed as having been abrogated) Tahirih rushed from her tent with a sword in her hand.  “Now is not the time for prayers and prostrations,” she challenged him.  “Rather, on to the field of love and sacrifice.”</w:t>
      </w:r>
      <w:r w:rsidR="003C6E2A" w:rsidRPr="00FD6A6E">
        <w:rPr>
          <w:rStyle w:val="FootnoteReference"/>
        </w:rPr>
        <w:footnoteReference w:id="19"/>
      </w:r>
      <w:r w:rsidR="007B48AC" w:rsidRPr="00FD6A6E">
        <w:t xml:space="preserve"> </w:t>
      </w:r>
      <w:proofErr w:type="spellStart"/>
      <w:r w:rsidR="007B48AC" w:rsidRPr="00FD6A6E">
        <w:t>Tahirih’s</w:t>
      </w:r>
      <w:proofErr w:type="spellEnd"/>
      <w:r w:rsidR="00D3752C" w:rsidRPr="00FD6A6E">
        <w:t xml:space="preserve"> poems may give some theological shape to the </w:t>
      </w:r>
      <w:r w:rsidR="00D3752C" w:rsidRPr="00FD6A6E">
        <w:lastRenderedPageBreak/>
        <w:t>antinomian aspects of Babi history noted by so many chronicle</w:t>
      </w:r>
      <w:r w:rsidR="003C6E2A" w:rsidRPr="00FD6A6E">
        <w:t>rs, both friends and enemies.  Writing m</w:t>
      </w:r>
      <w:r w:rsidR="00D3752C" w:rsidRPr="00FD6A6E">
        <w:t xml:space="preserve">any years </w:t>
      </w:r>
      <w:r w:rsidR="00106D62" w:rsidRPr="00FD6A6E">
        <w:t>after the event</w:t>
      </w:r>
      <w:r w:rsidR="003A71B8" w:rsidRPr="00FD6A6E">
        <w:t>, even Nabil-i ‘</w:t>
      </w:r>
      <w:proofErr w:type="spellStart"/>
      <w:r w:rsidR="003A71B8" w:rsidRPr="00FD6A6E">
        <w:t>Azam</w:t>
      </w:r>
      <w:proofErr w:type="spellEnd"/>
      <w:r w:rsidR="003A71B8" w:rsidRPr="00FD6A6E">
        <w:t xml:space="preserve"> complains</w:t>
      </w:r>
      <w:r w:rsidR="00D3752C" w:rsidRPr="00FD6A6E">
        <w:t xml:space="preserve"> about Babi excesses in the wake of </w:t>
      </w:r>
      <w:r w:rsidR="00934345" w:rsidRPr="00FD6A6E">
        <w:t xml:space="preserve">the events at </w:t>
      </w:r>
      <w:r w:rsidR="00D3752C" w:rsidRPr="00FD6A6E">
        <w:t>Badasht.</w:t>
      </w:r>
      <w:r w:rsidR="00106D62" w:rsidRPr="00FD6A6E">
        <w:rPr>
          <w:rStyle w:val="FootnoteReference"/>
        </w:rPr>
        <w:footnoteReference w:id="20"/>
      </w:r>
      <w:r w:rsidR="00D3752C" w:rsidRPr="00FD6A6E">
        <w:t xml:space="preserve">  </w:t>
      </w:r>
    </w:p>
    <w:p w14:paraId="7C8B02F2" w14:textId="77777777" w:rsidR="000D4887" w:rsidRPr="00FD6A6E" w:rsidRDefault="00D3752C" w:rsidP="003D469D">
      <w:pPr>
        <w:spacing w:line="480" w:lineRule="auto"/>
        <w:ind w:firstLine="720"/>
      </w:pPr>
      <w:proofErr w:type="spellStart"/>
      <w:r w:rsidRPr="00FD6A6E">
        <w:t>Tahirih’s</w:t>
      </w:r>
      <w:proofErr w:type="spellEnd"/>
      <w:r w:rsidRPr="00FD6A6E">
        <w:t xml:space="preserve"> theology apparently maintained that with the announcement of the appearance of the Qa’im (the Promised One) all of the laws of Islam, the entire body of the </w:t>
      </w:r>
      <w:r w:rsidRPr="00FD6A6E">
        <w:rPr>
          <w:i/>
        </w:rPr>
        <w:t>shari’a</w:t>
      </w:r>
      <w:r w:rsidRPr="00FD6A6E">
        <w:t>, had be</w:t>
      </w:r>
      <w:r w:rsidR="00250D0D" w:rsidRPr="00FD6A6E">
        <w:t>en</w:t>
      </w:r>
      <w:r w:rsidRPr="00FD6A6E">
        <w:t xml:space="preserve"> abrogated.  Therefore, until the universal proclamation of a new holy law, humanity existed in a sort of limbo, an interregnum, a time in which no religious law was applicable.</w:t>
      </w:r>
      <w:r w:rsidR="00106D62" w:rsidRPr="00FD6A6E">
        <w:rPr>
          <w:rStyle w:val="FootnoteReference"/>
        </w:rPr>
        <w:footnoteReference w:id="21"/>
      </w:r>
      <w:r w:rsidRPr="00FD6A6E">
        <w:t xml:space="preserve">  Presumably, true believers were free to follow the promptings of their own inner spirit.  </w:t>
      </w:r>
      <w:r w:rsidR="00230A07" w:rsidRPr="00FD6A6E">
        <w:t xml:space="preserve">Quddus and Tahirih both defied Islamic norms </w:t>
      </w:r>
      <w:r w:rsidR="009621CF" w:rsidRPr="00FD6A6E">
        <w:t xml:space="preserve">flagrantly, and </w:t>
      </w:r>
      <w:r w:rsidR="00230A07" w:rsidRPr="00FD6A6E">
        <w:t>in the most public way</w:t>
      </w:r>
      <w:r w:rsidR="003A71B8" w:rsidRPr="00FD6A6E">
        <w:t>, climbing into the same</w:t>
      </w:r>
      <w:r w:rsidR="00B81642" w:rsidRPr="00FD6A6E">
        <w:t xml:space="preserve"> </w:t>
      </w:r>
      <w:r w:rsidR="003A71B8" w:rsidRPr="00FD6A6E">
        <w:t xml:space="preserve">howdah when leaving the Conference of </w:t>
      </w:r>
      <w:r w:rsidR="00B81642" w:rsidRPr="00FD6A6E">
        <w:t>B</w:t>
      </w:r>
      <w:r w:rsidR="003A71B8" w:rsidRPr="00FD6A6E">
        <w:t>adasht</w:t>
      </w:r>
      <w:r w:rsidR="00B81642" w:rsidRPr="00FD6A6E">
        <w:t xml:space="preserve">, </w:t>
      </w:r>
      <w:r w:rsidR="003A71B8" w:rsidRPr="00FD6A6E">
        <w:t xml:space="preserve">traveling together, </w:t>
      </w:r>
      <w:r w:rsidR="00B81642" w:rsidRPr="00FD6A6E">
        <w:t xml:space="preserve">with Tahirih loudly reciting poems </w:t>
      </w:r>
      <w:r w:rsidR="003A71B8" w:rsidRPr="00FD6A6E">
        <w:t>during the rest of</w:t>
      </w:r>
      <w:r w:rsidR="00B81642" w:rsidRPr="00FD6A6E">
        <w:t xml:space="preserve"> the journey.</w:t>
      </w:r>
      <w:r w:rsidR="00B81642" w:rsidRPr="00FD6A6E">
        <w:rPr>
          <w:rStyle w:val="FootnoteReference"/>
        </w:rPr>
        <w:footnoteReference w:id="22"/>
      </w:r>
    </w:p>
    <w:p w14:paraId="7BFD03B2" w14:textId="77777777" w:rsidR="003C6E2A" w:rsidRPr="00FD6A6E" w:rsidRDefault="003C6E2A" w:rsidP="000C02F9">
      <w:pPr>
        <w:spacing w:line="480" w:lineRule="auto"/>
      </w:pPr>
    </w:p>
    <w:p w14:paraId="3483BCF9" w14:textId="77777777" w:rsidR="00DC27EF" w:rsidRPr="00FD6A6E" w:rsidRDefault="00DC27EF" w:rsidP="000C02F9">
      <w:pPr>
        <w:spacing w:line="480" w:lineRule="auto"/>
      </w:pPr>
      <w:r w:rsidRPr="00FD6A6E">
        <w:rPr>
          <w:b/>
        </w:rPr>
        <w:t>The Manifestation of God</w:t>
      </w:r>
    </w:p>
    <w:p w14:paraId="3CF5794B" w14:textId="77777777" w:rsidR="00DC27EF" w:rsidRPr="00FD6A6E" w:rsidRDefault="00DC27EF" w:rsidP="000C02F9">
      <w:pPr>
        <w:spacing w:line="480" w:lineRule="auto"/>
      </w:pPr>
      <w:r w:rsidRPr="00FD6A6E">
        <w:t xml:space="preserve">All of </w:t>
      </w:r>
      <w:proofErr w:type="spellStart"/>
      <w:r w:rsidRPr="00FD6A6E">
        <w:t>Tahirih’s</w:t>
      </w:r>
      <w:proofErr w:type="spellEnd"/>
      <w:r w:rsidRPr="00FD6A6E">
        <w:t xml:space="preserve"> poetry is written in the Sufi tradition, in the same genre as the great Persian </w:t>
      </w:r>
      <w:r w:rsidR="00C91460" w:rsidRPr="00FD6A6E">
        <w:t xml:space="preserve">Sufi </w:t>
      </w:r>
      <w:r w:rsidRPr="00FD6A6E">
        <w:t xml:space="preserve">poets Rumi, </w:t>
      </w:r>
      <w:proofErr w:type="spellStart"/>
      <w:r w:rsidRPr="00FD6A6E">
        <w:t>Sa’adi</w:t>
      </w:r>
      <w:proofErr w:type="spellEnd"/>
      <w:r w:rsidRPr="00FD6A6E">
        <w:t xml:space="preserve">, and Hafez.  Naturally, she makes use of the standard poetic metaphors </w:t>
      </w:r>
      <w:r w:rsidR="00C91460" w:rsidRPr="00FD6A6E">
        <w:t>of the tradition—</w:t>
      </w:r>
      <w:r w:rsidR="00106D62" w:rsidRPr="00FD6A6E">
        <w:t>including wine</w:t>
      </w:r>
      <w:r w:rsidRPr="00FD6A6E">
        <w:t>, fire, light, madness, sexuality, love, etc.  All as metaphors for the spirit.</w:t>
      </w:r>
      <w:r w:rsidR="003A71B8" w:rsidRPr="00FD6A6E">
        <w:rPr>
          <w:rStyle w:val="FootnoteReference"/>
        </w:rPr>
        <w:footnoteReference w:id="23"/>
      </w:r>
      <w:r w:rsidRPr="00FD6A6E">
        <w:t xml:space="preserve">  </w:t>
      </w:r>
    </w:p>
    <w:p w14:paraId="303B0E1C" w14:textId="77777777" w:rsidR="00320C76" w:rsidRPr="00FD6A6E" w:rsidRDefault="00106D62" w:rsidP="000C02F9">
      <w:pPr>
        <w:spacing w:line="480" w:lineRule="auto"/>
      </w:pPr>
      <w:r w:rsidRPr="00FD6A6E">
        <w:tab/>
        <w:t xml:space="preserve">One of the motifs found throughout her poems is the strong identification of her beloved as God himself.  </w:t>
      </w:r>
      <w:r w:rsidR="00C91460" w:rsidRPr="00FD6A6E">
        <w:t>The Manifestation of God is strongly identified with the godhead.  This identification is not explicit, but it is virtually omnipresent in her poems.  One is never sure to whom the identification o</w:t>
      </w:r>
      <w:r w:rsidR="00624187" w:rsidRPr="00FD6A6E">
        <w:t>f godhead specifically refers</w:t>
      </w:r>
      <w:r w:rsidR="00C91460" w:rsidRPr="00FD6A6E">
        <w:t>: the Bab, Baha’u’llah perhaps,</w:t>
      </w:r>
      <w:r w:rsidR="00A367D5" w:rsidRPr="00FD6A6E">
        <w:rPr>
          <w:rStyle w:val="FootnoteReference"/>
        </w:rPr>
        <w:footnoteReference w:id="24"/>
      </w:r>
      <w:r w:rsidR="00C91460" w:rsidRPr="00FD6A6E">
        <w:t xml:space="preserve"> God, or spirit.  In any case, this godhead </w:t>
      </w:r>
      <w:r w:rsidR="00C91460" w:rsidRPr="00FD6A6E">
        <w:lastRenderedPageBreak/>
        <w:t xml:space="preserve">she takes as her lover and anticipates the end of separation in a kind of Sufi longing for </w:t>
      </w:r>
      <w:r w:rsidR="00C91460" w:rsidRPr="00FD6A6E">
        <w:rPr>
          <w:i/>
        </w:rPr>
        <w:t>fana’</w:t>
      </w:r>
      <w:r w:rsidR="00320C76" w:rsidRPr="00FD6A6E">
        <w:t>, or union with God</w:t>
      </w:r>
      <w:r w:rsidR="00B036CC" w:rsidRPr="00FD6A6E">
        <w:t>.  Sometimes expressed metaphorically as sexual union</w:t>
      </w:r>
      <w:r w:rsidR="00320C76" w:rsidRPr="00FD6A6E">
        <w:t>:</w:t>
      </w:r>
    </w:p>
    <w:p w14:paraId="6499162C" w14:textId="77777777" w:rsidR="00B036CC" w:rsidRPr="00FD6A6E" w:rsidRDefault="00B036CC" w:rsidP="00320C76">
      <w:pPr>
        <w:tabs>
          <w:tab w:val="left" w:pos="2250"/>
          <w:tab w:val="left" w:pos="2880"/>
        </w:tabs>
        <w:ind w:left="1440"/>
      </w:pPr>
      <w:r w:rsidRPr="00FD6A6E">
        <w:t>Look at these tear-filled eyes, this pallid face —</w:t>
      </w:r>
      <w:r w:rsidRPr="00FD6A6E">
        <w:br/>
        <w:t>Can you refuse them?  Whom would it disgrace?</w:t>
      </w:r>
      <w:r w:rsidRPr="00FD6A6E">
        <w:br/>
      </w:r>
      <w:r w:rsidRPr="00FD6A6E">
        <w:br/>
        <w:t>Will you not come at daybreak to my bed,</w:t>
      </w:r>
      <w:r w:rsidRPr="00FD6A6E">
        <w:br/>
        <w:t>with kindness ravish me, and end my dread?</w:t>
      </w:r>
      <w:r w:rsidRPr="00FD6A6E">
        <w:br/>
      </w:r>
      <w:r w:rsidRPr="00FD6A6E">
        <w:br/>
        <w:t>Lift me, love, on the wings of my desire</w:t>
      </w:r>
      <w:r w:rsidRPr="00FD6A6E">
        <w:br/>
        <w:t>Lift me to you, to safety in your fire</w:t>
      </w:r>
      <w:r w:rsidRPr="00FD6A6E">
        <w:br/>
      </w:r>
      <w:r w:rsidRPr="00FD6A6E">
        <w:br/>
        <w:t>Only take me up, away from this place</w:t>
      </w:r>
      <w:r w:rsidRPr="00FD6A6E">
        <w:br/>
        <w:t>Set me down in the place that is no place</w:t>
      </w:r>
      <w:r w:rsidRPr="00FD6A6E">
        <w:rPr>
          <w:rStyle w:val="FootnoteReference"/>
        </w:rPr>
        <w:footnoteReference w:id="25"/>
      </w:r>
    </w:p>
    <w:p w14:paraId="5FF47332" w14:textId="77777777" w:rsidR="00624187" w:rsidRPr="00FD6A6E" w:rsidRDefault="00624187" w:rsidP="00320C76">
      <w:pPr>
        <w:tabs>
          <w:tab w:val="left" w:pos="2250"/>
          <w:tab w:val="left" w:pos="2880"/>
        </w:tabs>
        <w:ind w:left="1440"/>
      </w:pPr>
    </w:p>
    <w:p w14:paraId="3FF41D81" w14:textId="77777777" w:rsidR="00B036CC" w:rsidRPr="00FD6A6E" w:rsidRDefault="00B036CC" w:rsidP="00320C76">
      <w:pPr>
        <w:tabs>
          <w:tab w:val="left" w:pos="2250"/>
          <w:tab w:val="left" w:pos="2880"/>
        </w:tabs>
        <w:ind w:left="1440"/>
      </w:pPr>
    </w:p>
    <w:p w14:paraId="131CBDA0" w14:textId="77777777" w:rsidR="00B036CC" w:rsidRPr="00FD6A6E" w:rsidRDefault="00B036CC" w:rsidP="00B036CC">
      <w:pPr>
        <w:tabs>
          <w:tab w:val="left" w:pos="2250"/>
          <w:tab w:val="left" w:pos="2880"/>
        </w:tabs>
      </w:pPr>
      <w:r w:rsidRPr="00FD6A6E">
        <w:t>Or sometimes as full union with the Sublime:</w:t>
      </w:r>
    </w:p>
    <w:p w14:paraId="50A35BD8" w14:textId="77777777" w:rsidR="00320C76" w:rsidRPr="00FD6A6E" w:rsidRDefault="00B036CC" w:rsidP="00320C76">
      <w:pPr>
        <w:tabs>
          <w:tab w:val="left" w:pos="2250"/>
          <w:tab w:val="left" w:pos="2880"/>
        </w:tabs>
        <w:ind w:left="1440"/>
        <w:rPr>
          <w:rFonts w:eastAsia="Times"/>
        </w:rPr>
      </w:pPr>
      <w:r w:rsidRPr="00FD6A6E">
        <w:br/>
      </w:r>
      <w:r w:rsidR="00320C76" w:rsidRPr="00FD6A6E">
        <w:t>I am the slave on your roof keeping time,</w:t>
      </w:r>
    </w:p>
    <w:p w14:paraId="26075A91" w14:textId="77777777" w:rsidR="00320C76" w:rsidRPr="00FD6A6E" w:rsidRDefault="00320C76" w:rsidP="00320C76">
      <w:pPr>
        <w:tabs>
          <w:tab w:val="left" w:pos="2250"/>
          <w:tab w:val="left" w:pos="2880"/>
        </w:tabs>
        <w:ind w:left="1440"/>
        <w:rPr>
          <w:rFonts w:eastAsia="Times"/>
        </w:rPr>
      </w:pPr>
      <w:r w:rsidRPr="00FD6A6E">
        <w:t>I am the frightened bird snared by your lime,</w:t>
      </w:r>
    </w:p>
    <w:p w14:paraId="032A3223" w14:textId="77777777" w:rsidR="00320C76" w:rsidRPr="00FD6A6E" w:rsidRDefault="00320C76" w:rsidP="00320C76">
      <w:pPr>
        <w:tabs>
          <w:tab w:val="left" w:pos="2250"/>
          <w:tab w:val="left" w:pos="2880"/>
        </w:tabs>
        <w:ind w:left="1440"/>
        <w:rPr>
          <w:rFonts w:eastAsia="Times"/>
        </w:rPr>
      </w:pPr>
      <w:r w:rsidRPr="00FD6A6E">
        <w:t>the nightingale silent in your night-time,</w:t>
      </w:r>
    </w:p>
    <w:p w14:paraId="04D22ACE" w14:textId="77777777" w:rsidR="00320C76" w:rsidRPr="00FD6A6E" w:rsidRDefault="00320C76" w:rsidP="00320C76">
      <w:pPr>
        <w:tabs>
          <w:tab w:val="left" w:pos="2250"/>
          <w:tab w:val="left" w:pos="2880"/>
        </w:tabs>
        <w:ind w:left="1440"/>
        <w:rPr>
          <w:rFonts w:eastAsia="Times"/>
        </w:rPr>
      </w:pPr>
      <w:r w:rsidRPr="00FD6A6E">
        <w:t>the axis that stands for your name, Sublime</w:t>
      </w:r>
    </w:p>
    <w:p w14:paraId="0DC0DC43" w14:textId="77777777" w:rsidR="00320C76" w:rsidRPr="00FD6A6E" w:rsidRDefault="00320C76" w:rsidP="00320C76">
      <w:pPr>
        <w:tabs>
          <w:tab w:val="left" w:pos="2250"/>
          <w:tab w:val="left" w:pos="2880"/>
        </w:tabs>
        <w:ind w:left="1440"/>
        <w:rPr>
          <w:rFonts w:eastAsia="Times"/>
        </w:rPr>
      </w:pPr>
      <w:r w:rsidRPr="00FD6A6E">
        <w:tab/>
        <w:t>Not I, not we — That agony’s erased!</w:t>
      </w:r>
      <w:r w:rsidRPr="00FD6A6E">
        <w:rPr>
          <w:rStyle w:val="FootnoteReference"/>
        </w:rPr>
        <w:footnoteReference w:id="26"/>
      </w:r>
    </w:p>
    <w:p w14:paraId="3ACE9C05" w14:textId="77777777" w:rsidR="00B036CC" w:rsidRPr="00FD6A6E" w:rsidRDefault="00B036CC" w:rsidP="00320C76">
      <w:pPr>
        <w:spacing w:line="480" w:lineRule="auto"/>
        <w:ind w:left="1440"/>
      </w:pPr>
    </w:p>
    <w:p w14:paraId="2344446C" w14:textId="77777777" w:rsidR="0058587A" w:rsidRPr="00FD6A6E" w:rsidRDefault="0058587A" w:rsidP="00A367D5">
      <w:pPr>
        <w:spacing w:line="480" w:lineRule="auto"/>
        <w:rPr>
          <w:b/>
        </w:rPr>
      </w:pPr>
      <w:r w:rsidRPr="00FD6A6E">
        <w:rPr>
          <w:b/>
        </w:rPr>
        <w:t xml:space="preserve">The Day of </w:t>
      </w:r>
      <w:r w:rsidRPr="00FD6A6E">
        <w:rPr>
          <w:b/>
          <w:i/>
        </w:rPr>
        <w:t>Alast</w:t>
      </w:r>
    </w:p>
    <w:p w14:paraId="0D01A1E1" w14:textId="77777777" w:rsidR="00A367D5" w:rsidRPr="00FD6A6E" w:rsidRDefault="00A367D5" w:rsidP="00A367D5">
      <w:pPr>
        <w:spacing w:line="480" w:lineRule="auto"/>
      </w:pPr>
      <w:r w:rsidRPr="00FD6A6E">
        <w:t xml:space="preserve">Repeatedly, Tahirih appeals to the Islamic tradition of the day of </w:t>
      </w:r>
      <w:r w:rsidRPr="00FD6A6E">
        <w:rPr>
          <w:i/>
        </w:rPr>
        <w:t>alast</w:t>
      </w:r>
      <w:r w:rsidRPr="00FD6A6E">
        <w:t xml:space="preserve">, the time before time.  It is a </w:t>
      </w:r>
      <w:r w:rsidR="00904F99" w:rsidRPr="00FD6A6E">
        <w:t>vision</w:t>
      </w:r>
      <w:r w:rsidRPr="00FD6A6E">
        <w:t xml:space="preserve"> of pre-existence</w:t>
      </w:r>
      <w:r w:rsidR="00904F99" w:rsidRPr="00FD6A6E">
        <w:t xml:space="preserve"> referred to in Qur’an (7:172)</w:t>
      </w:r>
      <w:r w:rsidRPr="00FD6A6E">
        <w:t xml:space="preserve">.  According to this </w:t>
      </w:r>
      <w:r w:rsidR="00904F99" w:rsidRPr="00FD6A6E">
        <w:t>tradition</w:t>
      </w:r>
      <w:r w:rsidRPr="00FD6A6E">
        <w:t xml:space="preserve">, all the souls who were ever to be born were </w:t>
      </w:r>
      <w:r w:rsidR="00904F99" w:rsidRPr="00FD6A6E">
        <w:t>assembled in</w:t>
      </w:r>
      <w:r w:rsidRPr="00FD6A6E">
        <w:t xml:space="preserve"> the presence of God before the creation of the world.  He spoke the words, “Am I not your Lord?”</w:t>
      </w:r>
      <w:r w:rsidR="00904F99" w:rsidRPr="00FD6A6E">
        <w:t xml:space="preserve">  And e</w:t>
      </w:r>
      <w:r w:rsidRPr="00FD6A6E">
        <w:t xml:space="preserve">very soul replied, “Thou art.”  Baha’u’llah refers to this narrative explicitly in the Hidden Words: </w:t>
      </w:r>
    </w:p>
    <w:p w14:paraId="12ABE286" w14:textId="77777777" w:rsidR="00A367D5" w:rsidRPr="00FD6A6E" w:rsidRDefault="00A367D5" w:rsidP="00A367D5">
      <w:pPr>
        <w:ind w:left="1440"/>
        <w:rPr>
          <w:sz w:val="20"/>
          <w:szCs w:val="20"/>
        </w:rPr>
      </w:pPr>
      <w:r w:rsidRPr="00FD6A6E">
        <w:rPr>
          <w:sz w:val="20"/>
          <w:szCs w:val="20"/>
        </w:rPr>
        <w:t>O MY FRIENDS!</w:t>
      </w:r>
    </w:p>
    <w:p w14:paraId="671DE17B" w14:textId="77777777" w:rsidR="00BB2641" w:rsidRPr="00FD6A6E" w:rsidRDefault="00BB2641" w:rsidP="00A367D5">
      <w:pPr>
        <w:ind w:left="1440"/>
        <w:rPr>
          <w:sz w:val="20"/>
          <w:szCs w:val="20"/>
        </w:rPr>
      </w:pPr>
    </w:p>
    <w:p w14:paraId="00600B5F" w14:textId="77777777" w:rsidR="00A367D5" w:rsidRPr="00FD6A6E" w:rsidRDefault="00A367D5" w:rsidP="00A367D5">
      <w:pPr>
        <w:ind w:left="1440"/>
        <w:rPr>
          <w:sz w:val="20"/>
          <w:szCs w:val="20"/>
        </w:rPr>
      </w:pPr>
      <w:r w:rsidRPr="00FD6A6E">
        <w:rPr>
          <w:sz w:val="20"/>
          <w:szCs w:val="20"/>
        </w:rPr>
        <w:t xml:space="preserve">Have ye forgotten that true and radiant morn, when in those hallowed and blessed surroundings ye were all gathered in My presence beneath the shade of the tree of life, which is planted in the all-glorious paradise? Awe-struck ye listened as I gave utterance to these three most holy words: O friends! Prefer not your will to Mine, never desire that which I have not desired for you, and approach Me not with lifeless hearts, defiled with worldly desires and cravings. Would ye but sanctify your souls, ye would at this present hour </w:t>
      </w:r>
      <w:r w:rsidRPr="00FD6A6E">
        <w:rPr>
          <w:sz w:val="20"/>
          <w:szCs w:val="20"/>
        </w:rPr>
        <w:lastRenderedPageBreak/>
        <w:t>recall that place and those surroundings, and the truth of My utterance should be made evident unto all of you.</w:t>
      </w:r>
      <w:r w:rsidRPr="00FD6A6E">
        <w:rPr>
          <w:rStyle w:val="FootnoteReference"/>
          <w:sz w:val="20"/>
          <w:szCs w:val="20"/>
        </w:rPr>
        <w:footnoteReference w:id="27"/>
      </w:r>
    </w:p>
    <w:p w14:paraId="7FA0ED43" w14:textId="77777777" w:rsidR="00A367D5" w:rsidRPr="00FD6A6E" w:rsidRDefault="00A367D5" w:rsidP="00A367D5">
      <w:pPr>
        <w:spacing w:line="480" w:lineRule="auto"/>
      </w:pPr>
    </w:p>
    <w:p w14:paraId="5BBB148E" w14:textId="77777777" w:rsidR="00A367D5" w:rsidRPr="00FD6A6E" w:rsidRDefault="00BB2641" w:rsidP="00A367D5">
      <w:pPr>
        <w:spacing w:line="480" w:lineRule="auto"/>
      </w:pPr>
      <w:r w:rsidRPr="00FD6A6E">
        <w:t xml:space="preserve">In her poems, </w:t>
      </w:r>
      <w:r w:rsidR="00057028" w:rsidRPr="00FD6A6E">
        <w:t>Tahirih repeatedly invokes the d</w:t>
      </w:r>
      <w:r w:rsidRPr="00FD6A6E">
        <w:t xml:space="preserve">ay of </w:t>
      </w:r>
      <w:r w:rsidR="00057028" w:rsidRPr="00FD6A6E">
        <w:rPr>
          <w:i/>
        </w:rPr>
        <w:t>a</w:t>
      </w:r>
      <w:r w:rsidRPr="00FD6A6E">
        <w:rPr>
          <w:i/>
        </w:rPr>
        <w:t>last</w:t>
      </w:r>
      <w:r w:rsidRPr="00FD6A6E">
        <w:t>.  In these passages</w:t>
      </w:r>
      <w:r w:rsidR="00934345" w:rsidRPr="00FD6A6E">
        <w:t>,</w:t>
      </w:r>
      <w:r w:rsidRPr="00FD6A6E">
        <w:t xml:space="preserve"> she calls the mythological past into the concrete present.  Identifying the Manifestation with God himself, she asks him to speak the primal words:  </w:t>
      </w:r>
    </w:p>
    <w:p w14:paraId="3310857F" w14:textId="77777777" w:rsidR="00BB2641" w:rsidRPr="00FD6A6E" w:rsidRDefault="00BB2641" w:rsidP="00020E39">
      <w:pPr>
        <w:ind w:left="1440"/>
      </w:pPr>
      <w:r w:rsidRPr="00FD6A6E">
        <w:t xml:space="preserve">Fars is set aflame, and Tehran’s burning. </w:t>
      </w:r>
    </w:p>
    <w:p w14:paraId="1BDE20EC" w14:textId="77777777" w:rsidR="00BB2641" w:rsidRPr="00FD6A6E" w:rsidRDefault="00BB2641" w:rsidP="00020E39">
      <w:pPr>
        <w:ind w:left="1440"/>
      </w:pPr>
      <w:r w:rsidRPr="00FD6A6E">
        <w:t>Pure spirit rises from his place. Start dancing!</w:t>
      </w:r>
    </w:p>
    <w:p w14:paraId="33A1B1A9" w14:textId="77777777" w:rsidR="00BB2641" w:rsidRPr="00FD6A6E" w:rsidRDefault="00BB2641" w:rsidP="00020E39">
      <w:pPr>
        <w:ind w:left="1440"/>
      </w:pPr>
    </w:p>
    <w:p w14:paraId="5D297583" w14:textId="77777777" w:rsidR="00BB2641" w:rsidRPr="00FD6A6E" w:rsidRDefault="00BB2641" w:rsidP="00020E39">
      <w:pPr>
        <w:ind w:left="1440"/>
      </w:pPr>
      <w:r w:rsidRPr="00FD6A6E">
        <w:t xml:space="preserve">At daybreak nightingales don’t sing.  The cock  </w:t>
      </w:r>
    </w:p>
    <w:p w14:paraId="1A8E099E" w14:textId="77777777" w:rsidR="00BB2641" w:rsidRPr="00FD6A6E" w:rsidRDefault="00BB2641" w:rsidP="00020E39">
      <w:pPr>
        <w:ind w:left="1440"/>
      </w:pPr>
      <w:r w:rsidRPr="00FD6A6E">
        <w:t>struts out and birds of Glory start praising.</w:t>
      </w:r>
    </w:p>
    <w:p w14:paraId="5613C2DF" w14:textId="77777777" w:rsidR="00BB2641" w:rsidRPr="00FD6A6E" w:rsidRDefault="00BB2641" w:rsidP="00020E39">
      <w:pPr>
        <w:ind w:left="1440"/>
      </w:pPr>
    </w:p>
    <w:p w14:paraId="4F27C1FF" w14:textId="77777777" w:rsidR="00BB2641" w:rsidRPr="00FD6A6E" w:rsidRDefault="00BB2641" w:rsidP="00020E39">
      <w:pPr>
        <w:ind w:left="1440"/>
        <w:rPr>
          <w:i/>
          <w:iCs/>
        </w:rPr>
      </w:pPr>
      <w:r w:rsidRPr="00FD6A6E">
        <w:t xml:space="preserve">When my lover asks, </w:t>
      </w:r>
      <w:r w:rsidRPr="00FD6A6E">
        <w:rPr>
          <w:i/>
          <w:iCs/>
        </w:rPr>
        <w:t xml:space="preserve">Am I not your Lord? </w:t>
      </w:r>
    </w:p>
    <w:p w14:paraId="434A3D70" w14:textId="77777777" w:rsidR="00BB2641" w:rsidRPr="00FD6A6E" w:rsidRDefault="00BB2641" w:rsidP="00020E39">
      <w:pPr>
        <w:ind w:left="1440"/>
      </w:pPr>
      <w:r w:rsidRPr="00FD6A6E">
        <w:t xml:space="preserve">even the gods reply in awe, </w:t>
      </w:r>
      <w:r w:rsidRPr="00FD6A6E">
        <w:rPr>
          <w:i/>
          <w:iCs/>
        </w:rPr>
        <w:t>Thou art</w:t>
      </w:r>
      <w:r w:rsidRPr="00FD6A6E">
        <w:t>.</w:t>
      </w:r>
      <w:r w:rsidRPr="00FD6A6E">
        <w:rPr>
          <w:rStyle w:val="FootnoteReference"/>
        </w:rPr>
        <w:footnoteReference w:id="28"/>
      </w:r>
    </w:p>
    <w:p w14:paraId="1223B773" w14:textId="77777777" w:rsidR="00BB2641" w:rsidRPr="00FD6A6E" w:rsidRDefault="00BB2641" w:rsidP="00BB2641">
      <w:pPr>
        <w:ind w:left="1080"/>
        <w:rPr>
          <w:sz w:val="28"/>
        </w:rPr>
      </w:pPr>
    </w:p>
    <w:p w14:paraId="7F416E5F" w14:textId="77777777" w:rsidR="00BB2641" w:rsidRPr="00FD6A6E" w:rsidRDefault="00BB2641" w:rsidP="00BB2641">
      <w:pPr>
        <w:spacing w:line="480" w:lineRule="auto"/>
      </w:pPr>
      <w:r w:rsidRPr="00FD6A6E">
        <w:t>And:</w:t>
      </w:r>
    </w:p>
    <w:p w14:paraId="0C342A2D" w14:textId="77777777" w:rsidR="00904F99" w:rsidRPr="00FD6A6E" w:rsidRDefault="00904F99" w:rsidP="00020E39">
      <w:pPr>
        <w:ind w:left="1440"/>
      </w:pPr>
      <w:r w:rsidRPr="00FD6A6E">
        <w:t xml:space="preserve">When the brilliant sun of your face first dawned, </w:t>
      </w:r>
    </w:p>
    <w:p w14:paraId="4842B6F8" w14:textId="77777777" w:rsidR="00904F99" w:rsidRPr="00FD6A6E" w:rsidRDefault="00904F99" w:rsidP="00020E39">
      <w:pPr>
        <w:ind w:left="1440"/>
      </w:pPr>
      <w:r w:rsidRPr="00FD6A6E">
        <w:t xml:space="preserve">you dazed me by your light at my day’s start.  </w:t>
      </w:r>
    </w:p>
    <w:p w14:paraId="427231E5" w14:textId="77777777" w:rsidR="00904F99" w:rsidRPr="00FD6A6E" w:rsidRDefault="00904F99" w:rsidP="00020E39">
      <w:pPr>
        <w:ind w:left="1440"/>
      </w:pPr>
    </w:p>
    <w:p w14:paraId="31F0E3F3" w14:textId="77777777" w:rsidR="00904F99" w:rsidRPr="00FD6A6E" w:rsidRDefault="00904F99" w:rsidP="00020E39">
      <w:pPr>
        <w:ind w:left="1440"/>
      </w:pPr>
      <w:r w:rsidRPr="00FD6A6E">
        <w:t xml:space="preserve">So speak the words: </w:t>
      </w:r>
      <w:r w:rsidRPr="00FD6A6E">
        <w:rPr>
          <w:i/>
          <w:iCs/>
        </w:rPr>
        <w:t>“Am I not your Lord?”</w:t>
      </w:r>
      <w:r w:rsidRPr="00FD6A6E">
        <w:t xml:space="preserve"> </w:t>
      </w:r>
    </w:p>
    <w:p w14:paraId="0165BF3E" w14:textId="77777777" w:rsidR="00904F99" w:rsidRPr="00FD6A6E" w:rsidRDefault="00904F99" w:rsidP="00020E39">
      <w:pPr>
        <w:ind w:left="1440"/>
      </w:pPr>
      <w:r w:rsidRPr="00FD6A6E">
        <w:t xml:space="preserve">My heartbeat will reply: </w:t>
      </w:r>
      <w:r w:rsidRPr="00FD6A6E">
        <w:rPr>
          <w:i/>
          <w:iCs/>
        </w:rPr>
        <w:t>“Thou art. Thou art.”</w:t>
      </w:r>
    </w:p>
    <w:p w14:paraId="37665875" w14:textId="77777777" w:rsidR="00904F99" w:rsidRPr="00FD6A6E" w:rsidRDefault="00904F99" w:rsidP="00020E39">
      <w:pPr>
        <w:ind w:left="1440"/>
      </w:pPr>
    </w:p>
    <w:p w14:paraId="6C5C5D6A" w14:textId="77777777" w:rsidR="00904F99" w:rsidRPr="00FD6A6E" w:rsidRDefault="00904F99" w:rsidP="00020E39">
      <w:pPr>
        <w:ind w:left="1440"/>
        <w:rPr>
          <w:i/>
          <w:iCs/>
        </w:rPr>
      </w:pPr>
      <w:r w:rsidRPr="00FD6A6E">
        <w:t xml:space="preserve">You asked: </w:t>
      </w:r>
      <w:r w:rsidRPr="00FD6A6E">
        <w:rPr>
          <w:i/>
          <w:iCs/>
        </w:rPr>
        <w:t>“Am I not?”</w:t>
      </w:r>
      <w:r w:rsidRPr="00FD6A6E">
        <w:t xml:space="preserve">  I said: </w:t>
      </w:r>
      <w:r w:rsidRPr="00FD6A6E">
        <w:rPr>
          <w:i/>
          <w:iCs/>
        </w:rPr>
        <w:t>“Yes, Thou art.”</w:t>
      </w:r>
    </w:p>
    <w:p w14:paraId="2E7899CE" w14:textId="77777777" w:rsidR="00904F99" w:rsidRPr="00FD6A6E" w:rsidRDefault="00904F99" w:rsidP="00020E39">
      <w:pPr>
        <w:ind w:left="1440"/>
      </w:pPr>
      <w:r w:rsidRPr="00FD6A6E">
        <w:t>Then disaster set up camp inside my heart.</w:t>
      </w:r>
      <w:r w:rsidRPr="00FD6A6E">
        <w:rPr>
          <w:rStyle w:val="FootnoteReference"/>
        </w:rPr>
        <w:footnoteReference w:id="29"/>
      </w:r>
    </w:p>
    <w:p w14:paraId="63B135B2" w14:textId="77777777" w:rsidR="00624187" w:rsidRPr="00FD6A6E" w:rsidRDefault="00624187" w:rsidP="00020E39">
      <w:pPr>
        <w:ind w:left="1440"/>
      </w:pPr>
    </w:p>
    <w:p w14:paraId="2065E0E8" w14:textId="77777777" w:rsidR="00904F99" w:rsidRPr="00FD6A6E" w:rsidRDefault="00904F99" w:rsidP="00020E39">
      <w:pPr>
        <w:ind w:left="1080"/>
        <w:rPr>
          <w:sz w:val="28"/>
        </w:rPr>
      </w:pPr>
    </w:p>
    <w:p w14:paraId="7F71E5B1" w14:textId="77777777" w:rsidR="00A367D5" w:rsidRPr="00FD6A6E" w:rsidRDefault="00020E39" w:rsidP="00020E39">
      <w:pPr>
        <w:spacing w:line="480" w:lineRule="auto"/>
      </w:pPr>
      <w:r w:rsidRPr="00FD6A6E">
        <w:t xml:space="preserve">From the days of pre-existence Tahirih has identified herself with the godhead:  </w:t>
      </w:r>
    </w:p>
    <w:p w14:paraId="4F85A718" w14:textId="77777777" w:rsidR="00020E39" w:rsidRPr="00FD6A6E" w:rsidRDefault="00020E39" w:rsidP="00020E39">
      <w:pPr>
        <w:tabs>
          <w:tab w:val="left" w:pos="2250"/>
          <w:tab w:val="left" w:pos="2880"/>
        </w:tabs>
        <w:ind w:left="1440"/>
        <w:rPr>
          <w:rFonts w:eastAsia="Times"/>
        </w:rPr>
      </w:pPr>
      <w:r w:rsidRPr="00FD6A6E">
        <w:t>When the divine hand molded Adam’s clay,</w:t>
      </w:r>
    </w:p>
    <w:p w14:paraId="55681DDB" w14:textId="77777777" w:rsidR="00020E39" w:rsidRPr="00FD6A6E" w:rsidRDefault="00020E39" w:rsidP="00020E39">
      <w:pPr>
        <w:tabs>
          <w:tab w:val="left" w:pos="2250"/>
          <w:tab w:val="left" w:pos="2880"/>
        </w:tabs>
        <w:ind w:left="1440"/>
        <w:rPr>
          <w:rFonts w:eastAsia="Times"/>
        </w:rPr>
      </w:pPr>
      <w:r w:rsidRPr="00FD6A6E">
        <w:t>your love sowed its seed in my breast that day . . .</w:t>
      </w:r>
    </w:p>
    <w:p w14:paraId="164E481B" w14:textId="77777777" w:rsidR="00020E39" w:rsidRPr="00FD6A6E" w:rsidRDefault="00020E39" w:rsidP="00020E39">
      <w:pPr>
        <w:tabs>
          <w:tab w:val="left" w:pos="2250"/>
          <w:tab w:val="left" w:pos="2880"/>
        </w:tabs>
        <w:ind w:left="1440"/>
        <w:rPr>
          <w:rFonts w:eastAsia="Times"/>
        </w:rPr>
      </w:pPr>
    </w:p>
    <w:p w14:paraId="5430FCB7" w14:textId="77777777" w:rsidR="00020E39" w:rsidRPr="00FD6A6E" w:rsidRDefault="00020E39" w:rsidP="00020E39">
      <w:pPr>
        <w:tabs>
          <w:tab w:val="left" w:pos="2250"/>
          <w:tab w:val="left" w:pos="2880"/>
        </w:tabs>
        <w:ind w:left="1440"/>
        <w:rPr>
          <w:rFonts w:eastAsia="Times"/>
        </w:rPr>
      </w:pPr>
      <w:r w:rsidRPr="00FD6A6E">
        <w:t xml:space="preserve">Since that day my heart cried out, </w:t>
      </w:r>
      <w:r w:rsidRPr="00FD6A6E">
        <w:rPr>
          <w:i/>
        </w:rPr>
        <w:t>Behold me!</w:t>
      </w:r>
    </w:p>
    <w:p w14:paraId="765BC834" w14:textId="77777777" w:rsidR="00020E39" w:rsidRPr="00FD6A6E" w:rsidRDefault="00020E39" w:rsidP="00020E39">
      <w:pPr>
        <w:tabs>
          <w:tab w:val="left" w:pos="2250"/>
          <w:tab w:val="left" w:pos="2880"/>
        </w:tabs>
        <w:ind w:left="1440"/>
        <w:rPr>
          <w:rFonts w:eastAsia="Times"/>
        </w:rPr>
      </w:pPr>
      <w:r w:rsidRPr="00FD6A6E">
        <w:t>and I stepped in that street for all to see,</w:t>
      </w:r>
    </w:p>
    <w:p w14:paraId="3A1C56EC" w14:textId="77777777" w:rsidR="00020E39" w:rsidRPr="00FD6A6E" w:rsidRDefault="00020E39" w:rsidP="00020E39">
      <w:pPr>
        <w:tabs>
          <w:tab w:val="left" w:pos="2250"/>
          <w:tab w:val="left" w:pos="2880"/>
        </w:tabs>
        <w:ind w:left="1440"/>
        <w:rPr>
          <w:rFonts w:eastAsia="Times"/>
        </w:rPr>
      </w:pPr>
      <w:r w:rsidRPr="00FD6A6E">
        <w:t>gadding about, a shameless debauchee,</w:t>
      </w:r>
    </w:p>
    <w:p w14:paraId="6C3F6217" w14:textId="77777777" w:rsidR="00020E39" w:rsidRPr="00FD6A6E" w:rsidRDefault="00020E39" w:rsidP="00020E39">
      <w:pPr>
        <w:tabs>
          <w:tab w:val="left" w:pos="2250"/>
          <w:tab w:val="left" w:pos="2880"/>
        </w:tabs>
        <w:ind w:left="1440"/>
        <w:rPr>
          <w:rFonts w:eastAsia="Times"/>
        </w:rPr>
      </w:pPr>
      <w:r w:rsidRPr="00FD6A6E">
        <w:t>He was all myself, all myself was he—</w:t>
      </w:r>
    </w:p>
    <w:p w14:paraId="56A2FBB3" w14:textId="77777777" w:rsidR="00020E39" w:rsidRPr="00FD6A6E" w:rsidRDefault="00020E39" w:rsidP="00020E39">
      <w:pPr>
        <w:tabs>
          <w:tab w:val="left" w:pos="2250"/>
          <w:tab w:val="left" w:pos="2880"/>
        </w:tabs>
        <w:ind w:left="1440"/>
      </w:pPr>
      <w:r w:rsidRPr="00FD6A6E">
        <w:tab/>
        <w:t>His jewel set in my heart’s palace</w:t>
      </w:r>
      <w:r w:rsidRPr="00FD6A6E">
        <w:rPr>
          <w:rStyle w:val="FootnoteReference"/>
        </w:rPr>
        <w:footnoteReference w:id="30"/>
      </w:r>
    </w:p>
    <w:p w14:paraId="459ED8DF" w14:textId="77777777" w:rsidR="00624187" w:rsidRPr="00FD6A6E" w:rsidRDefault="00624187" w:rsidP="00020E39">
      <w:pPr>
        <w:tabs>
          <w:tab w:val="left" w:pos="2250"/>
          <w:tab w:val="left" w:pos="2880"/>
        </w:tabs>
        <w:ind w:left="1440"/>
      </w:pPr>
    </w:p>
    <w:p w14:paraId="79F2AA7D" w14:textId="77777777" w:rsidR="00624187" w:rsidRPr="00FD6A6E" w:rsidRDefault="00624187" w:rsidP="00020E39">
      <w:pPr>
        <w:tabs>
          <w:tab w:val="left" w:pos="2250"/>
          <w:tab w:val="left" w:pos="2880"/>
        </w:tabs>
        <w:ind w:left="1440"/>
      </w:pPr>
    </w:p>
    <w:p w14:paraId="6D83888D" w14:textId="77777777" w:rsidR="00C23FCF" w:rsidRPr="00FD6A6E" w:rsidRDefault="00020E39" w:rsidP="000F7284">
      <w:pPr>
        <w:spacing w:line="480" w:lineRule="auto"/>
      </w:pPr>
      <w:r w:rsidRPr="00FD6A6E">
        <w:tab/>
      </w:r>
      <w:r w:rsidR="00035765" w:rsidRPr="00FD6A6E">
        <w:t>As Abbas Amanat observed, the theology of the Bab captured the eschatological future</w:t>
      </w:r>
      <w:r w:rsidR="000F7284" w:rsidRPr="00FD6A6E">
        <w:t>, the Day of Judgment,</w:t>
      </w:r>
      <w:r w:rsidR="00035765" w:rsidRPr="00FD6A6E">
        <w:t xml:space="preserve"> and yanked it into the present in order to overturn the established religious order and proclaim and new Dispensation of divine will.  </w:t>
      </w:r>
      <w:r w:rsidRPr="00FD6A6E">
        <w:t xml:space="preserve">In </w:t>
      </w:r>
      <w:proofErr w:type="spellStart"/>
      <w:r w:rsidRPr="00FD6A6E">
        <w:t>Tahirih’s</w:t>
      </w:r>
      <w:proofErr w:type="spellEnd"/>
      <w:r w:rsidRPr="00FD6A6E">
        <w:t xml:space="preserve"> theology, the Day of </w:t>
      </w:r>
      <w:r w:rsidR="000F7284" w:rsidRPr="00FD6A6E">
        <w:rPr>
          <w:i/>
        </w:rPr>
        <w:t>a</w:t>
      </w:r>
      <w:r w:rsidRPr="00FD6A6E">
        <w:rPr>
          <w:i/>
        </w:rPr>
        <w:t>last</w:t>
      </w:r>
      <w:r w:rsidR="00035765" w:rsidRPr="00FD6A6E">
        <w:t xml:space="preserve">, </w:t>
      </w:r>
      <w:r w:rsidR="000F7284" w:rsidRPr="00FD6A6E">
        <w:t>that is, the Day of P</w:t>
      </w:r>
      <w:r w:rsidR="00035765" w:rsidRPr="00FD6A6E">
        <w:t>re-existence</w:t>
      </w:r>
      <w:r w:rsidR="00934345" w:rsidRPr="00FD6A6E">
        <w:t>,</w:t>
      </w:r>
      <w:r w:rsidR="00035765" w:rsidRPr="00FD6A6E">
        <w:t xml:space="preserve"> is also dragged to the present and</w:t>
      </w:r>
      <w:r w:rsidR="000F7284" w:rsidRPr="00FD6A6E">
        <w:t xml:space="preserve"> put at the service of the new f</w:t>
      </w:r>
      <w:r w:rsidR="00035765" w:rsidRPr="00FD6A6E">
        <w:t>aith</w:t>
      </w:r>
      <w:r w:rsidRPr="00FD6A6E">
        <w:t>.  It is a theology that Bah</w:t>
      </w:r>
      <w:r w:rsidR="007553D4" w:rsidRPr="00FD6A6E">
        <w:t>a’u’llah would validate some years</w:t>
      </w:r>
      <w:r w:rsidRPr="00FD6A6E">
        <w:t xml:space="preserve"> later in his own poem, Mathnavi</w:t>
      </w:r>
      <w:r w:rsidR="000F7284" w:rsidRPr="00FD6A6E">
        <w:t>-I Mubarak</w:t>
      </w:r>
      <w:r w:rsidRPr="00FD6A6E">
        <w:t>:</w:t>
      </w:r>
    </w:p>
    <w:tbl>
      <w:tblPr>
        <w:tblW w:w="7200"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327"/>
        <w:gridCol w:w="1873"/>
      </w:tblGrid>
      <w:tr w:rsidR="00C23FCF" w:rsidRPr="00FD6A6E" w14:paraId="624BDB43" w14:textId="77777777" w:rsidTr="008B684A">
        <w:trPr>
          <w:tblCellSpacing w:w="0" w:type="dxa"/>
          <w:jc w:val="center"/>
        </w:trPr>
        <w:tc>
          <w:tcPr>
            <w:tcW w:w="5327" w:type="dxa"/>
            <w:shd w:val="clear" w:color="auto" w:fill="FFFFFF"/>
            <w:vAlign w:val="center"/>
            <w:hideMark/>
          </w:tcPr>
          <w:p w14:paraId="6A1A6EE6" w14:textId="77777777" w:rsidR="00C23FCF" w:rsidRPr="00FD6A6E" w:rsidRDefault="00C23FCF" w:rsidP="008B684A">
            <w:pPr>
              <w:rPr>
                <w:sz w:val="20"/>
                <w:szCs w:val="20"/>
              </w:rPr>
            </w:pPr>
            <w:r w:rsidRPr="00FD6A6E">
              <w:rPr>
                <w:sz w:val="20"/>
                <w:szCs w:val="20"/>
              </w:rPr>
              <w:t>Once s</w:t>
            </w:r>
            <w:r w:rsidR="008B684A" w:rsidRPr="00FD6A6E">
              <w:rPr>
                <w:sz w:val="20"/>
                <w:szCs w:val="20"/>
              </w:rPr>
              <w:t xml:space="preserve">omeone posed this question to a </w:t>
            </w:r>
            <w:r w:rsidRPr="00FD6A6E">
              <w:rPr>
                <w:sz w:val="20"/>
                <w:szCs w:val="20"/>
              </w:rPr>
              <w:t>gnostic</w:t>
            </w:r>
            <w:r w:rsidR="00956399" w:rsidRPr="00FD6A6E">
              <w:rPr>
                <w:sz w:val="20"/>
                <w:szCs w:val="20"/>
              </w:rPr>
              <w:t xml:space="preserve"> [a mystic]</w:t>
            </w:r>
            <w:r w:rsidRPr="00FD6A6E">
              <w:rPr>
                <w:sz w:val="20"/>
                <w:szCs w:val="20"/>
              </w:rPr>
              <w:t>:</w:t>
            </w:r>
          </w:p>
          <w:p w14:paraId="131D5A21" w14:textId="77777777" w:rsidR="008B684A" w:rsidRPr="00FD6A6E" w:rsidRDefault="008B684A" w:rsidP="008B684A">
            <w:pPr>
              <w:rPr>
                <w:sz w:val="20"/>
                <w:szCs w:val="20"/>
              </w:rPr>
            </w:pPr>
          </w:p>
          <w:p w14:paraId="68175F08" w14:textId="77777777" w:rsidR="00C23FCF" w:rsidRPr="00FD6A6E" w:rsidRDefault="00C23FCF" w:rsidP="008B684A">
            <w:pPr>
              <w:rPr>
                <w:sz w:val="20"/>
                <w:szCs w:val="20"/>
              </w:rPr>
            </w:pPr>
            <w:r w:rsidRPr="00FD6A6E">
              <w:rPr>
                <w:sz w:val="20"/>
                <w:szCs w:val="20"/>
              </w:rPr>
              <w:t>O you, who've grasped the mysteries of God</w:t>
            </w:r>
          </w:p>
        </w:tc>
        <w:tc>
          <w:tcPr>
            <w:tcW w:w="1873" w:type="dxa"/>
            <w:shd w:val="clear" w:color="auto" w:fill="FFFFFF"/>
            <w:vAlign w:val="center"/>
            <w:hideMark/>
          </w:tcPr>
          <w:p w14:paraId="63A594D7" w14:textId="77777777" w:rsidR="00C23FCF" w:rsidRPr="00FD6A6E" w:rsidRDefault="00C23FCF" w:rsidP="00C23FCF">
            <w:pPr>
              <w:ind w:left="1440"/>
              <w:rPr>
                <w:sz w:val="20"/>
                <w:szCs w:val="20"/>
              </w:rPr>
            </w:pPr>
            <w:r w:rsidRPr="00FD6A6E">
              <w:rPr>
                <w:sz w:val="20"/>
                <w:szCs w:val="20"/>
              </w:rPr>
              <w:t>147</w:t>
            </w:r>
          </w:p>
        </w:tc>
      </w:tr>
      <w:tr w:rsidR="00C23FCF" w:rsidRPr="00FD6A6E" w14:paraId="196DB7BA" w14:textId="77777777" w:rsidTr="008B684A">
        <w:trPr>
          <w:tblCellSpacing w:w="0" w:type="dxa"/>
          <w:jc w:val="center"/>
        </w:trPr>
        <w:tc>
          <w:tcPr>
            <w:tcW w:w="0" w:type="auto"/>
            <w:shd w:val="clear" w:color="auto" w:fill="FFFFFF"/>
            <w:vAlign w:val="center"/>
            <w:hideMark/>
          </w:tcPr>
          <w:p w14:paraId="13278D68" w14:textId="77777777" w:rsidR="00C23FCF" w:rsidRPr="00FD6A6E" w:rsidRDefault="00C23FCF" w:rsidP="008B684A">
            <w:pPr>
              <w:rPr>
                <w:sz w:val="20"/>
                <w:szCs w:val="20"/>
              </w:rPr>
            </w:pPr>
            <w:r w:rsidRPr="00FD6A6E">
              <w:rPr>
                <w:sz w:val="20"/>
                <w:szCs w:val="20"/>
              </w:rPr>
              <w:t>O you, by bounty's wine intoxicate, </w:t>
            </w:r>
            <w:r w:rsidRPr="00FD6A6E">
              <w:rPr>
                <w:sz w:val="20"/>
                <w:szCs w:val="20"/>
              </w:rPr>
              <w:br/>
              <w:t>do you recall the day of "Am I not?"</w:t>
            </w:r>
            <w:r w:rsidR="00956399" w:rsidRPr="00FD6A6E">
              <w:rPr>
                <w:sz w:val="20"/>
                <w:szCs w:val="20"/>
              </w:rPr>
              <w:t xml:space="preserve"> [i.e., the day of </w:t>
            </w:r>
            <w:r w:rsidR="00956399" w:rsidRPr="00FD6A6E">
              <w:rPr>
                <w:i/>
                <w:sz w:val="20"/>
                <w:szCs w:val="20"/>
              </w:rPr>
              <w:t>alast</w:t>
            </w:r>
            <w:r w:rsidR="00956399" w:rsidRPr="00FD6A6E">
              <w:rPr>
                <w:sz w:val="20"/>
                <w:szCs w:val="20"/>
              </w:rPr>
              <w:t>]</w:t>
            </w:r>
          </w:p>
        </w:tc>
        <w:tc>
          <w:tcPr>
            <w:tcW w:w="0" w:type="auto"/>
            <w:shd w:val="clear" w:color="auto" w:fill="FFFFFF"/>
            <w:vAlign w:val="center"/>
            <w:hideMark/>
          </w:tcPr>
          <w:p w14:paraId="6F68901E" w14:textId="77777777" w:rsidR="00C23FCF" w:rsidRPr="00FD6A6E" w:rsidRDefault="00C23FCF" w:rsidP="00C23FCF">
            <w:pPr>
              <w:ind w:left="1440"/>
              <w:rPr>
                <w:sz w:val="20"/>
                <w:szCs w:val="20"/>
              </w:rPr>
            </w:pPr>
            <w:r w:rsidRPr="00FD6A6E">
              <w:rPr>
                <w:sz w:val="20"/>
                <w:szCs w:val="20"/>
              </w:rPr>
              <w:br/>
              <w:t>148</w:t>
            </w:r>
          </w:p>
        </w:tc>
      </w:tr>
      <w:tr w:rsidR="00C23FCF" w:rsidRPr="00FD6A6E" w14:paraId="60D3AE13" w14:textId="77777777" w:rsidTr="008B684A">
        <w:trPr>
          <w:tblCellSpacing w:w="0" w:type="dxa"/>
          <w:jc w:val="center"/>
        </w:trPr>
        <w:tc>
          <w:tcPr>
            <w:tcW w:w="0" w:type="auto"/>
            <w:shd w:val="clear" w:color="auto" w:fill="FFFFFF"/>
            <w:vAlign w:val="center"/>
            <w:hideMark/>
          </w:tcPr>
          <w:p w14:paraId="212E128B" w14:textId="77777777" w:rsidR="00C23FCF" w:rsidRPr="00FD6A6E" w:rsidRDefault="00C23FCF" w:rsidP="00956399">
            <w:pPr>
              <w:rPr>
                <w:sz w:val="20"/>
                <w:szCs w:val="20"/>
              </w:rPr>
            </w:pPr>
            <w:r w:rsidRPr="00FD6A6E">
              <w:rPr>
                <w:sz w:val="20"/>
                <w:szCs w:val="20"/>
              </w:rPr>
              <w:t>He said: I do recall that sound, those words,</w:t>
            </w:r>
          </w:p>
          <w:p w14:paraId="7F8A2C45" w14:textId="77777777" w:rsidR="00C23FCF" w:rsidRPr="00FD6A6E" w:rsidRDefault="00C23FCF" w:rsidP="00956399">
            <w:pPr>
              <w:rPr>
                <w:sz w:val="20"/>
                <w:szCs w:val="20"/>
              </w:rPr>
            </w:pPr>
            <w:r w:rsidRPr="00FD6A6E">
              <w:rPr>
                <w:sz w:val="20"/>
                <w:szCs w:val="20"/>
              </w:rPr>
              <w:t>as if it were but yesterday, no less!</w:t>
            </w:r>
          </w:p>
        </w:tc>
        <w:tc>
          <w:tcPr>
            <w:tcW w:w="0" w:type="auto"/>
            <w:shd w:val="clear" w:color="auto" w:fill="FFFFFF"/>
            <w:vAlign w:val="center"/>
            <w:hideMark/>
          </w:tcPr>
          <w:p w14:paraId="72D141BC" w14:textId="77777777" w:rsidR="00C23FCF" w:rsidRPr="00FD6A6E" w:rsidRDefault="00C23FCF" w:rsidP="00C23FCF">
            <w:pPr>
              <w:ind w:left="1440"/>
              <w:rPr>
                <w:sz w:val="20"/>
                <w:szCs w:val="20"/>
              </w:rPr>
            </w:pPr>
            <w:r w:rsidRPr="00FD6A6E">
              <w:rPr>
                <w:sz w:val="20"/>
                <w:szCs w:val="20"/>
              </w:rPr>
              <w:br/>
              <w:t>149</w:t>
            </w:r>
          </w:p>
        </w:tc>
      </w:tr>
      <w:tr w:rsidR="00C23FCF" w:rsidRPr="00FD6A6E" w14:paraId="5CA6B759" w14:textId="77777777" w:rsidTr="008B684A">
        <w:trPr>
          <w:tblCellSpacing w:w="0" w:type="dxa"/>
          <w:jc w:val="center"/>
        </w:trPr>
        <w:tc>
          <w:tcPr>
            <w:tcW w:w="0" w:type="auto"/>
            <w:shd w:val="clear" w:color="auto" w:fill="FFFFFF"/>
            <w:vAlign w:val="center"/>
            <w:hideMark/>
          </w:tcPr>
          <w:p w14:paraId="33C9F495" w14:textId="77777777" w:rsidR="00C23FCF" w:rsidRPr="00FD6A6E" w:rsidRDefault="00C23FCF" w:rsidP="00956399">
            <w:pPr>
              <w:rPr>
                <w:sz w:val="20"/>
                <w:szCs w:val="20"/>
              </w:rPr>
            </w:pPr>
            <w:r w:rsidRPr="00FD6A6E">
              <w:rPr>
                <w:sz w:val="20"/>
                <w:szCs w:val="20"/>
              </w:rPr>
              <w:t>It lingers ever in my ears, His call,</w:t>
            </w:r>
          </w:p>
          <w:p w14:paraId="65B8BE43" w14:textId="77777777" w:rsidR="00C23FCF" w:rsidRPr="00FD6A6E" w:rsidRDefault="00C23FCF" w:rsidP="00956399">
            <w:pPr>
              <w:rPr>
                <w:sz w:val="20"/>
                <w:szCs w:val="20"/>
              </w:rPr>
            </w:pPr>
            <w:r w:rsidRPr="00FD6A6E">
              <w:rPr>
                <w:sz w:val="20"/>
                <w:szCs w:val="20"/>
              </w:rPr>
              <w:t>that sweet, soul-vivifying voice of His. </w:t>
            </w:r>
          </w:p>
        </w:tc>
        <w:tc>
          <w:tcPr>
            <w:tcW w:w="0" w:type="auto"/>
            <w:shd w:val="clear" w:color="auto" w:fill="FFFFFF"/>
            <w:vAlign w:val="center"/>
            <w:hideMark/>
          </w:tcPr>
          <w:p w14:paraId="7B67EAC6" w14:textId="77777777" w:rsidR="00C23FCF" w:rsidRPr="00FD6A6E" w:rsidRDefault="00C23FCF" w:rsidP="00C23FCF">
            <w:pPr>
              <w:ind w:left="1440"/>
              <w:rPr>
                <w:sz w:val="20"/>
                <w:szCs w:val="20"/>
              </w:rPr>
            </w:pPr>
            <w:r w:rsidRPr="00FD6A6E">
              <w:rPr>
                <w:sz w:val="20"/>
                <w:szCs w:val="20"/>
              </w:rPr>
              <w:br/>
              <w:t>150</w:t>
            </w:r>
          </w:p>
        </w:tc>
      </w:tr>
    </w:tbl>
    <w:p w14:paraId="02D4B045" w14:textId="77777777" w:rsidR="00C23FCF" w:rsidRPr="00FD6A6E" w:rsidRDefault="00C23FCF" w:rsidP="008B684A">
      <w:pPr>
        <w:ind w:left="1440"/>
        <w:rPr>
          <w:vanish/>
          <w:sz w:val="20"/>
          <w:szCs w:val="20"/>
        </w:rPr>
      </w:pPr>
    </w:p>
    <w:tbl>
      <w:tblPr>
        <w:tblW w:w="7200"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327"/>
        <w:gridCol w:w="1873"/>
      </w:tblGrid>
      <w:tr w:rsidR="00C23FCF" w:rsidRPr="00FD6A6E" w14:paraId="0F985841" w14:textId="77777777" w:rsidTr="008B684A">
        <w:trPr>
          <w:tblCellSpacing w:w="0" w:type="dxa"/>
          <w:jc w:val="center"/>
        </w:trPr>
        <w:tc>
          <w:tcPr>
            <w:tcW w:w="5327" w:type="dxa"/>
            <w:shd w:val="clear" w:color="auto" w:fill="FFFFFF"/>
            <w:vAlign w:val="center"/>
            <w:hideMark/>
          </w:tcPr>
          <w:p w14:paraId="347AFFDD" w14:textId="77777777" w:rsidR="00C23FCF" w:rsidRPr="00FD6A6E" w:rsidRDefault="00C23FCF" w:rsidP="00956399">
            <w:pPr>
              <w:divId w:val="2032679085"/>
              <w:rPr>
                <w:sz w:val="20"/>
                <w:szCs w:val="20"/>
              </w:rPr>
            </w:pPr>
            <w:r w:rsidRPr="00FD6A6E">
              <w:rPr>
                <w:sz w:val="20"/>
                <w:szCs w:val="20"/>
              </w:rPr>
              <w:t>Another gnostic, who had climbed beyond, </w:t>
            </w:r>
            <w:r w:rsidRPr="00FD6A6E">
              <w:rPr>
                <w:sz w:val="20"/>
                <w:szCs w:val="20"/>
              </w:rPr>
              <w:br/>
              <w:t>had bored the mystic pearls divine, replied:</w:t>
            </w:r>
          </w:p>
        </w:tc>
        <w:tc>
          <w:tcPr>
            <w:tcW w:w="1873" w:type="dxa"/>
            <w:shd w:val="clear" w:color="auto" w:fill="FFFFFF"/>
            <w:vAlign w:val="center"/>
            <w:hideMark/>
          </w:tcPr>
          <w:p w14:paraId="6DB68EFC" w14:textId="77777777" w:rsidR="00C23FCF" w:rsidRPr="00FD6A6E" w:rsidRDefault="00C23FCF" w:rsidP="00C23FCF">
            <w:pPr>
              <w:ind w:left="1440"/>
              <w:rPr>
                <w:sz w:val="20"/>
                <w:szCs w:val="20"/>
              </w:rPr>
            </w:pPr>
            <w:r w:rsidRPr="00FD6A6E">
              <w:rPr>
                <w:sz w:val="20"/>
                <w:szCs w:val="20"/>
              </w:rPr>
              <w:t>151</w:t>
            </w:r>
          </w:p>
        </w:tc>
      </w:tr>
      <w:tr w:rsidR="00C23FCF" w:rsidRPr="00FD6A6E" w14:paraId="4FD5222F" w14:textId="77777777" w:rsidTr="008B684A">
        <w:trPr>
          <w:tblCellSpacing w:w="0" w:type="dxa"/>
          <w:jc w:val="center"/>
        </w:trPr>
        <w:tc>
          <w:tcPr>
            <w:tcW w:w="0" w:type="auto"/>
            <w:shd w:val="clear" w:color="auto" w:fill="FFFFFF"/>
            <w:vAlign w:val="center"/>
            <w:hideMark/>
          </w:tcPr>
          <w:p w14:paraId="627E6F15" w14:textId="77777777" w:rsidR="00C23FCF" w:rsidRPr="00FD6A6E" w:rsidRDefault="00C23FCF" w:rsidP="00956399">
            <w:pPr>
              <w:rPr>
                <w:sz w:val="20"/>
                <w:szCs w:val="20"/>
              </w:rPr>
            </w:pPr>
            <w:r w:rsidRPr="00FD6A6E">
              <w:rPr>
                <w:sz w:val="20"/>
                <w:szCs w:val="20"/>
              </w:rPr>
              <w:t>That day of God has never ended nor</w:t>
            </w:r>
            <w:r w:rsidRPr="00FD6A6E">
              <w:rPr>
                <w:sz w:val="20"/>
                <w:szCs w:val="20"/>
              </w:rPr>
              <w:br/>
              <w:t>has fallen short, we're living in that day! </w:t>
            </w:r>
          </w:p>
        </w:tc>
        <w:tc>
          <w:tcPr>
            <w:tcW w:w="0" w:type="auto"/>
            <w:shd w:val="clear" w:color="auto" w:fill="FFFFFF"/>
            <w:vAlign w:val="center"/>
            <w:hideMark/>
          </w:tcPr>
          <w:p w14:paraId="27785EAF" w14:textId="77777777" w:rsidR="00C23FCF" w:rsidRPr="00FD6A6E" w:rsidRDefault="00C23FCF" w:rsidP="00C23FCF">
            <w:pPr>
              <w:ind w:left="1440"/>
              <w:rPr>
                <w:sz w:val="20"/>
                <w:szCs w:val="20"/>
              </w:rPr>
            </w:pPr>
            <w:r w:rsidRPr="00FD6A6E">
              <w:rPr>
                <w:sz w:val="20"/>
                <w:szCs w:val="20"/>
              </w:rPr>
              <w:br/>
              <w:t>152</w:t>
            </w:r>
          </w:p>
        </w:tc>
      </w:tr>
      <w:tr w:rsidR="00C23FCF" w:rsidRPr="00FD6A6E" w14:paraId="46270BD0" w14:textId="77777777" w:rsidTr="008B684A">
        <w:trPr>
          <w:tblCellSpacing w:w="0" w:type="dxa"/>
          <w:jc w:val="center"/>
        </w:trPr>
        <w:tc>
          <w:tcPr>
            <w:tcW w:w="0" w:type="auto"/>
            <w:shd w:val="clear" w:color="auto" w:fill="FFFFFF"/>
            <w:vAlign w:val="center"/>
            <w:hideMark/>
          </w:tcPr>
          <w:p w14:paraId="3E8D5145" w14:textId="77777777" w:rsidR="00C23FCF" w:rsidRPr="00FD6A6E" w:rsidRDefault="00C23FCF" w:rsidP="00956399">
            <w:pPr>
              <w:rPr>
                <w:sz w:val="20"/>
                <w:szCs w:val="20"/>
              </w:rPr>
            </w:pPr>
            <w:r w:rsidRPr="00FD6A6E">
              <w:rPr>
                <w:sz w:val="20"/>
                <w:szCs w:val="20"/>
              </w:rPr>
              <w:t>His day's unending, not pursued by night –</w:t>
            </w:r>
            <w:r w:rsidRPr="00FD6A6E">
              <w:rPr>
                <w:sz w:val="20"/>
                <w:szCs w:val="20"/>
              </w:rPr>
              <w:br/>
              <w:t>That we're alive on such a day's not strange</w:t>
            </w:r>
          </w:p>
        </w:tc>
        <w:tc>
          <w:tcPr>
            <w:tcW w:w="0" w:type="auto"/>
            <w:shd w:val="clear" w:color="auto" w:fill="FFFFFF"/>
            <w:vAlign w:val="center"/>
            <w:hideMark/>
          </w:tcPr>
          <w:p w14:paraId="4E73A8FF" w14:textId="77777777" w:rsidR="00C23FCF" w:rsidRPr="00FD6A6E" w:rsidRDefault="00C23FCF" w:rsidP="00C23FCF">
            <w:pPr>
              <w:ind w:left="1440"/>
              <w:rPr>
                <w:sz w:val="20"/>
                <w:szCs w:val="20"/>
              </w:rPr>
            </w:pPr>
            <w:r w:rsidRPr="00FD6A6E">
              <w:rPr>
                <w:sz w:val="20"/>
                <w:szCs w:val="20"/>
              </w:rPr>
              <w:br/>
              <w:t>153</w:t>
            </w:r>
          </w:p>
        </w:tc>
      </w:tr>
      <w:tr w:rsidR="00C23FCF" w:rsidRPr="00FD6A6E" w14:paraId="773D13B6" w14:textId="77777777" w:rsidTr="008B684A">
        <w:trPr>
          <w:tblCellSpacing w:w="0" w:type="dxa"/>
          <w:jc w:val="center"/>
        </w:trPr>
        <w:tc>
          <w:tcPr>
            <w:tcW w:w="0" w:type="auto"/>
            <w:shd w:val="clear" w:color="auto" w:fill="FFFFFF"/>
            <w:vAlign w:val="center"/>
            <w:hideMark/>
          </w:tcPr>
          <w:p w14:paraId="62FD07D9" w14:textId="77777777" w:rsidR="00C23FCF" w:rsidRPr="00FD6A6E" w:rsidRDefault="00C23FCF" w:rsidP="00956399">
            <w:pPr>
              <w:rPr>
                <w:sz w:val="20"/>
                <w:szCs w:val="20"/>
              </w:rPr>
            </w:pPr>
            <w:r w:rsidRPr="00FD6A6E">
              <w:rPr>
                <w:sz w:val="20"/>
                <w:szCs w:val="20"/>
              </w:rPr>
              <w:t>Had Time's Soul ceased its yearning for this day,</w:t>
            </w:r>
            <w:r w:rsidRPr="00FD6A6E">
              <w:rPr>
                <w:sz w:val="20"/>
                <w:szCs w:val="20"/>
              </w:rPr>
              <w:br/>
              <w:t>then Heaven's court and throne would fall to dust</w:t>
            </w:r>
          </w:p>
        </w:tc>
        <w:tc>
          <w:tcPr>
            <w:tcW w:w="0" w:type="auto"/>
            <w:shd w:val="clear" w:color="auto" w:fill="FFFFFF"/>
            <w:vAlign w:val="center"/>
            <w:hideMark/>
          </w:tcPr>
          <w:p w14:paraId="2022EF25" w14:textId="77777777" w:rsidR="00C23FCF" w:rsidRPr="00FD6A6E" w:rsidRDefault="00C23FCF" w:rsidP="00C23FCF">
            <w:pPr>
              <w:ind w:left="1440"/>
              <w:rPr>
                <w:sz w:val="20"/>
                <w:szCs w:val="20"/>
              </w:rPr>
            </w:pPr>
            <w:r w:rsidRPr="00FD6A6E">
              <w:rPr>
                <w:sz w:val="20"/>
                <w:szCs w:val="20"/>
              </w:rPr>
              <w:br/>
              <w:t>154</w:t>
            </w:r>
          </w:p>
        </w:tc>
      </w:tr>
      <w:tr w:rsidR="00C23FCF" w:rsidRPr="00FD6A6E" w14:paraId="783C71DF" w14:textId="77777777" w:rsidTr="008B684A">
        <w:trPr>
          <w:tblCellSpacing w:w="0" w:type="dxa"/>
          <w:jc w:val="center"/>
        </w:trPr>
        <w:tc>
          <w:tcPr>
            <w:tcW w:w="0" w:type="auto"/>
            <w:shd w:val="clear" w:color="auto" w:fill="FFFFFF"/>
            <w:vAlign w:val="center"/>
            <w:hideMark/>
          </w:tcPr>
          <w:p w14:paraId="7D2A32F0" w14:textId="77777777" w:rsidR="00C23FCF" w:rsidRPr="00FD6A6E" w:rsidRDefault="00C23FCF" w:rsidP="00956399">
            <w:pPr>
              <w:rPr>
                <w:sz w:val="20"/>
                <w:szCs w:val="20"/>
              </w:rPr>
            </w:pPr>
            <w:r w:rsidRPr="00FD6A6E">
              <w:rPr>
                <w:sz w:val="20"/>
                <w:szCs w:val="20"/>
              </w:rPr>
              <w:t>For through God's power this eternal day</w:t>
            </w:r>
            <w:r w:rsidRPr="00FD6A6E">
              <w:rPr>
                <w:sz w:val="20"/>
                <w:szCs w:val="20"/>
              </w:rPr>
              <w:br/>
              <w:t>was made unending by His Majesty.</w:t>
            </w:r>
            <w:r w:rsidR="00956399" w:rsidRPr="00FD6A6E">
              <w:rPr>
                <w:rStyle w:val="FootnoteReference"/>
                <w:sz w:val="20"/>
                <w:szCs w:val="20"/>
              </w:rPr>
              <w:footnoteReference w:id="31"/>
            </w:r>
          </w:p>
        </w:tc>
        <w:tc>
          <w:tcPr>
            <w:tcW w:w="0" w:type="auto"/>
            <w:shd w:val="clear" w:color="auto" w:fill="FFFFFF"/>
            <w:vAlign w:val="center"/>
            <w:hideMark/>
          </w:tcPr>
          <w:p w14:paraId="56F10AE9" w14:textId="77777777" w:rsidR="00C23FCF" w:rsidRPr="00FD6A6E" w:rsidRDefault="00C23FCF" w:rsidP="00C23FCF">
            <w:pPr>
              <w:ind w:left="1440"/>
              <w:rPr>
                <w:sz w:val="20"/>
                <w:szCs w:val="20"/>
              </w:rPr>
            </w:pPr>
            <w:r w:rsidRPr="00FD6A6E">
              <w:rPr>
                <w:sz w:val="20"/>
                <w:szCs w:val="20"/>
              </w:rPr>
              <w:br/>
              <w:t>155</w:t>
            </w:r>
          </w:p>
        </w:tc>
      </w:tr>
    </w:tbl>
    <w:p w14:paraId="41E96110" w14:textId="77777777" w:rsidR="00C23FCF" w:rsidRPr="00FD6A6E" w:rsidRDefault="00C23FCF" w:rsidP="008B684A">
      <w:pPr>
        <w:ind w:left="1440"/>
        <w:rPr>
          <w:sz w:val="20"/>
          <w:szCs w:val="20"/>
        </w:rPr>
      </w:pPr>
    </w:p>
    <w:p w14:paraId="313D6FC4" w14:textId="77777777" w:rsidR="0058587A" w:rsidRPr="00FD6A6E" w:rsidRDefault="0058587A" w:rsidP="008B684A">
      <w:pPr>
        <w:ind w:left="1440"/>
        <w:rPr>
          <w:vanish/>
          <w:sz w:val="20"/>
          <w:szCs w:val="20"/>
        </w:rPr>
      </w:pPr>
    </w:p>
    <w:p w14:paraId="1CF57A96" w14:textId="77777777" w:rsidR="00624187" w:rsidRPr="00FD6A6E" w:rsidRDefault="0058587A" w:rsidP="000F7284">
      <w:pPr>
        <w:spacing w:line="480" w:lineRule="auto"/>
      </w:pPr>
      <w:r w:rsidRPr="00FD6A6E">
        <w:t xml:space="preserve">The theological position is that the day of </w:t>
      </w:r>
      <w:r w:rsidRPr="00FD6A6E">
        <w:rPr>
          <w:i/>
        </w:rPr>
        <w:t>alast</w:t>
      </w:r>
      <w:r w:rsidRPr="00FD6A6E">
        <w:t xml:space="preserve"> is not a myth of pre-existence, but is an existential reality.  The drama of that mystical day is played out again with the appearance of the Manifestation of God, who stands before humanity symbolically to declare his mission.  Every soul, having already declared his allegiance to his Lord before birth, is called upon to do so again.  This affirmation represents the fundamental relationship between God and humanity.</w:t>
      </w:r>
    </w:p>
    <w:p w14:paraId="106C91CE" w14:textId="77777777" w:rsidR="0058587A" w:rsidRDefault="0058587A" w:rsidP="000F7284">
      <w:pPr>
        <w:spacing w:line="480" w:lineRule="auto"/>
      </w:pPr>
    </w:p>
    <w:p w14:paraId="30223FFD" w14:textId="77777777" w:rsidR="00BB0337" w:rsidRPr="00FD6A6E" w:rsidRDefault="00BB0337" w:rsidP="000F7284">
      <w:pPr>
        <w:spacing w:line="480" w:lineRule="auto"/>
      </w:pPr>
    </w:p>
    <w:p w14:paraId="2CFD9092" w14:textId="77777777" w:rsidR="00624187" w:rsidRPr="00FD6A6E" w:rsidRDefault="00624187" w:rsidP="00624187">
      <w:pPr>
        <w:spacing w:line="480" w:lineRule="auto"/>
        <w:ind w:left="-90"/>
        <w:rPr>
          <w:b/>
        </w:rPr>
      </w:pPr>
      <w:r w:rsidRPr="00FD6A6E">
        <w:rPr>
          <w:b/>
        </w:rPr>
        <w:t>Feminine Power</w:t>
      </w:r>
    </w:p>
    <w:p w14:paraId="16A00BB5" w14:textId="77777777" w:rsidR="00624187" w:rsidRPr="00FD6A6E" w:rsidRDefault="00624187" w:rsidP="00624187">
      <w:pPr>
        <w:spacing w:line="480" w:lineRule="auto"/>
        <w:ind w:left="-90"/>
      </w:pPr>
      <w:r w:rsidRPr="00FD6A6E">
        <w:lastRenderedPageBreak/>
        <w:t>Far from understanding her gender as a weakness or as a disability, Tahirih repeatedly invokes her femininity and beauty as a source of power.  As such, she suggests a sort of feminist theology that should be explored.  MacEoin has argued that Tahirih never wrote or preached in favor of the social equality of women in Iranian society and should not be regarded as a “feminist” in any European sense of the word.  T</w:t>
      </w:r>
      <w:r w:rsidR="00934345" w:rsidRPr="00FD6A6E">
        <w:t>rue enough</w:t>
      </w:r>
      <w:r w:rsidR="009621CF" w:rsidRPr="00FD6A6E">
        <w:t>, as no such concept existed in nineteenth-century Iran</w:t>
      </w:r>
      <w:r w:rsidRPr="00FD6A6E">
        <w:t xml:space="preserve">.  But </w:t>
      </w:r>
      <w:r w:rsidR="00934345" w:rsidRPr="00FD6A6E">
        <w:t>in her poetry she i</w:t>
      </w:r>
      <w:r w:rsidRPr="00FD6A6E">
        <w:t xml:space="preserve">s clearly and explicitly aware of her gender, her femininity, and her sexuality.  In her poems, these are great strengths that can be used to subdue the world.  Her poem “Just Let the Wind . . .” is filled with power and confidence:  </w:t>
      </w:r>
    </w:p>
    <w:p w14:paraId="14EDC9FE" w14:textId="77777777" w:rsidR="00D40382" w:rsidRPr="00FD6A6E" w:rsidRDefault="00624187" w:rsidP="00624187">
      <w:pPr>
        <w:pStyle w:val="BodyTextIndent"/>
        <w:ind w:left="1440"/>
      </w:pPr>
      <w:r w:rsidRPr="00FD6A6E">
        <w:t xml:space="preserve">Just let the wind untie my perfumed hair, </w:t>
      </w:r>
      <w:r w:rsidRPr="00FD6A6E">
        <w:br/>
        <w:t>my net would capture every wild gazelle.</w:t>
      </w:r>
      <w:r w:rsidRPr="00FD6A6E">
        <w:br/>
      </w:r>
      <w:r w:rsidRPr="00FD6A6E">
        <w:br/>
      </w:r>
    </w:p>
    <w:p w14:paraId="016AC156" w14:textId="77777777" w:rsidR="00624187" w:rsidRPr="00FD6A6E" w:rsidRDefault="00624187" w:rsidP="00624187">
      <w:pPr>
        <w:pStyle w:val="BodyTextIndent"/>
        <w:ind w:left="1440"/>
      </w:pPr>
      <w:r w:rsidRPr="00FD6A6E">
        <w:t xml:space="preserve">Just let me paint my flashing eyes with black, </w:t>
      </w:r>
      <w:r w:rsidRPr="00FD6A6E">
        <w:br/>
        <w:t>and I would make the world as dark as hell.</w:t>
      </w:r>
      <w:r w:rsidRPr="00FD6A6E">
        <w:br/>
      </w:r>
      <w:r w:rsidRPr="00FD6A6E">
        <w:br/>
        <w:t>Yearning, each dawn, to see my dazzling face,</w:t>
      </w:r>
      <w:r w:rsidRPr="00FD6A6E">
        <w:br/>
        <w:t xml:space="preserve">the heaven lifts its golden looking-glass. </w:t>
      </w:r>
      <w:r w:rsidRPr="00FD6A6E">
        <w:br/>
      </w:r>
      <w:r w:rsidRPr="00FD6A6E">
        <w:br/>
        <w:t xml:space="preserve">If I should pass a church by chance today, </w:t>
      </w:r>
      <w:r w:rsidRPr="00FD6A6E">
        <w:br/>
        <w:t>Christ’s own virgins would rush to my gospel.</w:t>
      </w:r>
      <w:r w:rsidR="00E420BB" w:rsidRPr="00FD6A6E">
        <w:rPr>
          <w:rStyle w:val="FootnoteReference"/>
        </w:rPr>
        <w:footnoteReference w:id="32"/>
      </w:r>
    </w:p>
    <w:p w14:paraId="7787AC39" w14:textId="77777777" w:rsidR="00E420BB" w:rsidRPr="00FD6A6E" w:rsidRDefault="00E420BB" w:rsidP="00E420BB">
      <w:pPr>
        <w:pStyle w:val="BodyTextIndent"/>
      </w:pPr>
    </w:p>
    <w:p w14:paraId="2AE6F873" w14:textId="77777777" w:rsidR="00E420BB" w:rsidRPr="00FD6A6E" w:rsidRDefault="00E420BB" w:rsidP="00E420BB">
      <w:pPr>
        <w:pStyle w:val="BodyTextIndent"/>
        <w:spacing w:line="480" w:lineRule="auto"/>
      </w:pPr>
      <w:r w:rsidRPr="00FD6A6E">
        <w:t xml:space="preserve">As referred to earlier, </w:t>
      </w:r>
      <w:proofErr w:type="spellStart"/>
      <w:r w:rsidRPr="00FD6A6E">
        <w:t>Tahirih’s</w:t>
      </w:r>
      <w:proofErr w:type="spellEnd"/>
      <w:r w:rsidRPr="00FD6A6E">
        <w:t xml:space="preserve"> long poem “From Those Locks” makes frequent and effective use of references to feminine power:  </w:t>
      </w:r>
    </w:p>
    <w:p w14:paraId="79D62ED0" w14:textId="77777777" w:rsidR="00E420BB" w:rsidRPr="00FD6A6E" w:rsidRDefault="00E420BB" w:rsidP="00E420BB">
      <w:pPr>
        <w:widowControl w:val="0"/>
        <w:tabs>
          <w:tab w:val="left" w:pos="2250"/>
          <w:tab w:val="left" w:pos="2880"/>
        </w:tabs>
        <w:autoSpaceDE w:val="0"/>
        <w:autoSpaceDN w:val="0"/>
        <w:adjustRightInd w:val="0"/>
        <w:ind w:left="1440"/>
      </w:pPr>
      <w:r w:rsidRPr="00FD6A6E">
        <w:t>I’ll drop my robe, my prayer mat I’ll discard,</w:t>
      </w:r>
    </w:p>
    <w:p w14:paraId="28CED601" w14:textId="77777777" w:rsidR="00E420BB" w:rsidRPr="00FD6A6E" w:rsidRDefault="00E420BB" w:rsidP="00E420BB">
      <w:pPr>
        <w:widowControl w:val="0"/>
        <w:tabs>
          <w:tab w:val="left" w:pos="2250"/>
          <w:tab w:val="left" w:pos="2880"/>
        </w:tabs>
        <w:autoSpaceDE w:val="0"/>
        <w:autoSpaceDN w:val="0"/>
        <w:adjustRightInd w:val="0"/>
        <w:ind w:left="1440"/>
      </w:pPr>
      <w:r w:rsidRPr="00FD6A6E">
        <w:t>drink till I'm drunk, and none of them regard</w:t>
      </w:r>
    </w:p>
    <w:p w14:paraId="21F4A255" w14:textId="77777777" w:rsidR="00E420BB" w:rsidRPr="00FD6A6E" w:rsidRDefault="00E420BB" w:rsidP="00E420BB">
      <w:pPr>
        <w:pStyle w:val="Heading2"/>
        <w:ind w:left="1440"/>
        <w:jc w:val="left"/>
        <w:rPr>
          <w:i w:val="0"/>
          <w:iCs w:val="0"/>
          <w:szCs w:val="24"/>
        </w:rPr>
      </w:pPr>
      <w:r w:rsidRPr="00FD6A6E">
        <w:rPr>
          <w:i w:val="0"/>
          <w:iCs w:val="0"/>
          <w:szCs w:val="24"/>
        </w:rPr>
        <w:t>My passion will fill their house, roof to yard</w:t>
      </w:r>
    </w:p>
    <w:p w14:paraId="410452AC" w14:textId="77777777" w:rsidR="00E420BB" w:rsidRPr="00FD6A6E" w:rsidRDefault="00E420BB" w:rsidP="00E420BB">
      <w:pPr>
        <w:widowControl w:val="0"/>
        <w:tabs>
          <w:tab w:val="left" w:pos="2250"/>
          <w:tab w:val="left" w:pos="2880"/>
        </w:tabs>
        <w:autoSpaceDE w:val="0"/>
        <w:autoSpaceDN w:val="0"/>
        <w:adjustRightInd w:val="0"/>
        <w:ind w:left="1440"/>
        <w:rPr>
          <w:rFonts w:eastAsia="Times"/>
        </w:rPr>
      </w:pPr>
      <w:r w:rsidRPr="00FD6A6E">
        <w:t>Mt. Sinai’s flame grows bright, for I’m its bard</w:t>
      </w:r>
    </w:p>
    <w:p w14:paraId="5DE46860" w14:textId="77777777" w:rsidR="00E420BB" w:rsidRPr="00FD6A6E" w:rsidRDefault="00E420BB" w:rsidP="00E420BB">
      <w:pPr>
        <w:pStyle w:val="BodyTextIndent"/>
        <w:spacing w:line="480" w:lineRule="auto"/>
        <w:ind w:left="2520" w:firstLine="360"/>
      </w:pPr>
      <w:r w:rsidRPr="00FD6A6E">
        <w:t>By the tavern gate, there’s my place!</w:t>
      </w:r>
      <w:r w:rsidRPr="00FD6A6E">
        <w:rPr>
          <w:rStyle w:val="FootnoteReference"/>
        </w:rPr>
        <w:footnoteReference w:id="33"/>
      </w:r>
    </w:p>
    <w:p w14:paraId="1E850730" w14:textId="77777777" w:rsidR="00D40382" w:rsidRPr="00FD6A6E" w:rsidRDefault="00D40382" w:rsidP="00250D0D">
      <w:pPr>
        <w:spacing w:line="480" w:lineRule="auto"/>
      </w:pPr>
      <w:r w:rsidRPr="00FD6A6E">
        <w:t xml:space="preserve">For Tahirih, her femininity was a strength—not a disability or a weakness.  We is aware that she can make use of her beauty and </w:t>
      </w:r>
      <w:r w:rsidR="00C43090" w:rsidRPr="00FD6A6E">
        <w:t xml:space="preserve">her </w:t>
      </w:r>
      <w:r w:rsidRPr="00FD6A6E">
        <w:t xml:space="preserve">passion to overcome enemies and shape the world around her.  As a </w:t>
      </w:r>
      <w:r w:rsidRPr="00FD6A6E">
        <w:lastRenderedPageBreak/>
        <w:t>learned woman, she felt free to invade male space and dispute with men, with</w:t>
      </w:r>
      <w:r w:rsidR="00C43090" w:rsidRPr="00FD6A6E">
        <w:t>out ever sacrificing her gender or her awareness of herself as a woman.</w:t>
      </w:r>
      <w:r w:rsidRPr="00FD6A6E">
        <w:t xml:space="preserve">  </w:t>
      </w:r>
    </w:p>
    <w:p w14:paraId="70718DE2" w14:textId="77777777" w:rsidR="00D40382" w:rsidRPr="00FD6A6E" w:rsidRDefault="00D40382" w:rsidP="00250D0D">
      <w:pPr>
        <w:spacing w:line="480" w:lineRule="auto"/>
        <w:rPr>
          <w:b/>
        </w:rPr>
      </w:pPr>
    </w:p>
    <w:p w14:paraId="4F5D01F3" w14:textId="77777777" w:rsidR="00250D0D" w:rsidRPr="00FD6A6E" w:rsidRDefault="00250D0D" w:rsidP="00250D0D">
      <w:pPr>
        <w:spacing w:line="480" w:lineRule="auto"/>
      </w:pPr>
      <w:r w:rsidRPr="00FD6A6E">
        <w:rPr>
          <w:b/>
        </w:rPr>
        <w:t>Conclusions</w:t>
      </w:r>
    </w:p>
    <w:p w14:paraId="3E20A204" w14:textId="77777777" w:rsidR="00BB0337" w:rsidRDefault="00250D0D" w:rsidP="00BB0337">
      <w:pPr>
        <w:spacing w:line="480" w:lineRule="auto"/>
      </w:pPr>
      <w:r w:rsidRPr="00FD6A6E">
        <w:t>Certainly there is more to say.  It is far to</w:t>
      </w:r>
      <w:r w:rsidR="00840034" w:rsidRPr="00FD6A6E">
        <w:t>o</w:t>
      </w:r>
      <w:r w:rsidRPr="00FD6A6E">
        <w:t xml:space="preserve"> early to draw any conclusions from this preliminary survey.  But even a brief examination of a few of the poems of Tahirih that have been translated into English reveals that she has made some of her most radical theological statements in the form of poems.  </w:t>
      </w:r>
    </w:p>
    <w:p w14:paraId="04F44C06" w14:textId="77777777" w:rsidR="00BB0337" w:rsidRDefault="00BB0337" w:rsidP="00BB0337">
      <w:pPr>
        <w:spacing w:line="480" w:lineRule="auto"/>
      </w:pPr>
    </w:p>
    <w:p w14:paraId="2B152A1E" w14:textId="77777777" w:rsidR="00BB0337" w:rsidRDefault="00BB0337" w:rsidP="00BB0337">
      <w:pPr>
        <w:spacing w:line="480" w:lineRule="auto"/>
      </w:pPr>
    </w:p>
    <w:p w14:paraId="65FD939E" w14:textId="77777777" w:rsidR="00BB0337" w:rsidRDefault="00BB0337" w:rsidP="00BB0337">
      <w:pPr>
        <w:spacing w:line="480" w:lineRule="auto"/>
      </w:pPr>
    </w:p>
    <w:p w14:paraId="4C15029E" w14:textId="77777777" w:rsidR="00CE05D7" w:rsidRPr="00BB0337" w:rsidRDefault="00CE05D7" w:rsidP="00BB0337">
      <w:pPr>
        <w:spacing w:line="480" w:lineRule="auto"/>
      </w:pPr>
      <w:r w:rsidRPr="00FD6A6E">
        <w:rPr>
          <w:b/>
        </w:rPr>
        <w:t>Bibliography</w:t>
      </w:r>
    </w:p>
    <w:p w14:paraId="5D1248A7" w14:textId="77777777" w:rsidR="00CE05D7" w:rsidRPr="00FD6A6E" w:rsidRDefault="00CE05D7" w:rsidP="000C02F9">
      <w:pPr>
        <w:ind w:left="360" w:hanging="360"/>
      </w:pPr>
      <w:r w:rsidRPr="00FD6A6E">
        <w:t>________________________________________________</w:t>
      </w:r>
    </w:p>
    <w:p w14:paraId="217A2608" w14:textId="77777777" w:rsidR="00CE05D7" w:rsidRPr="00FD6A6E" w:rsidRDefault="00CE05D7" w:rsidP="000C02F9">
      <w:pPr>
        <w:ind w:left="360" w:hanging="360"/>
      </w:pPr>
    </w:p>
    <w:p w14:paraId="6611C1F1" w14:textId="77777777" w:rsidR="00596A0B" w:rsidRPr="00FD6A6E" w:rsidRDefault="00596A0B" w:rsidP="000C02F9">
      <w:pPr>
        <w:ind w:left="360" w:hanging="360"/>
      </w:pPr>
      <w:r w:rsidRPr="00FD6A6E">
        <w:t xml:space="preserve">‘Abdu’l-Baha. </w:t>
      </w:r>
      <w:r w:rsidRPr="00FD6A6E">
        <w:rPr>
          <w:i/>
        </w:rPr>
        <w:t>Memorials of the Faithful</w:t>
      </w:r>
      <w:r w:rsidRPr="00FD6A6E">
        <w:t>. Wilmette, IL: Baha’i Publishing Trust, 1971.</w:t>
      </w:r>
    </w:p>
    <w:p w14:paraId="524A2DDD" w14:textId="77777777" w:rsidR="00596A0B" w:rsidRPr="00FD6A6E" w:rsidRDefault="00596A0B" w:rsidP="000C02F9">
      <w:pPr>
        <w:ind w:left="360" w:hanging="360"/>
      </w:pPr>
    </w:p>
    <w:p w14:paraId="02CE6609" w14:textId="77777777" w:rsidR="00CE05D7" w:rsidRPr="00FD6A6E" w:rsidRDefault="00596A0B" w:rsidP="000C02F9">
      <w:pPr>
        <w:ind w:left="360" w:hanging="360"/>
      </w:pPr>
      <w:r w:rsidRPr="00FD6A6E">
        <w:rPr>
          <w:i/>
        </w:rPr>
        <w:t xml:space="preserve">________. </w:t>
      </w:r>
      <w:r w:rsidR="005466FE" w:rsidRPr="00FD6A6E">
        <w:rPr>
          <w:i/>
        </w:rPr>
        <w:t>A Traveller’s Narrative: Written to Illustrate the Episode of the Báb</w:t>
      </w:r>
      <w:r w:rsidR="005466FE" w:rsidRPr="00FD6A6E">
        <w:t>. Trans. and ed. by Edward G. Browne. Note Q. Cambridge University Press, 1891. (</w:t>
      </w:r>
      <w:r w:rsidR="00BE6AAD" w:rsidRPr="00FD6A6E">
        <w:t>Los Angeles: Kalimat Press, 2004.)</w:t>
      </w:r>
    </w:p>
    <w:p w14:paraId="432D0637" w14:textId="77777777" w:rsidR="00BE6AAD" w:rsidRPr="00FD6A6E" w:rsidRDefault="00BE6AAD" w:rsidP="000C02F9">
      <w:pPr>
        <w:ind w:left="360" w:hanging="360"/>
      </w:pPr>
    </w:p>
    <w:p w14:paraId="3154467F" w14:textId="77777777" w:rsidR="00CE05D7" w:rsidRPr="00FD6A6E" w:rsidRDefault="00CE05D7" w:rsidP="000C02F9">
      <w:pPr>
        <w:ind w:left="360" w:hanging="360"/>
      </w:pPr>
      <w:proofErr w:type="spellStart"/>
      <w:r w:rsidRPr="00FD6A6E">
        <w:t>Afaqi</w:t>
      </w:r>
      <w:proofErr w:type="spellEnd"/>
      <w:r w:rsidRPr="00FD6A6E">
        <w:t xml:space="preserve">, </w:t>
      </w:r>
      <w:proofErr w:type="spellStart"/>
      <w:r w:rsidRPr="00FD6A6E">
        <w:t>Sabir</w:t>
      </w:r>
      <w:proofErr w:type="spellEnd"/>
      <w:r w:rsidRPr="00FD6A6E">
        <w:t xml:space="preserve">, ed. </w:t>
      </w:r>
      <w:r w:rsidRPr="00FD6A6E">
        <w:rPr>
          <w:i/>
        </w:rPr>
        <w:t xml:space="preserve">Táhirih in </w:t>
      </w:r>
      <w:proofErr w:type="spellStart"/>
      <w:r w:rsidRPr="00FD6A6E">
        <w:rPr>
          <w:i/>
        </w:rPr>
        <w:t>History:Perspectives</w:t>
      </w:r>
      <w:proofErr w:type="spellEnd"/>
      <w:r w:rsidRPr="00FD6A6E">
        <w:rPr>
          <w:i/>
        </w:rPr>
        <w:t xml:space="preserve"> on Qurratu’l-‘Ayn from East and West</w:t>
      </w:r>
      <w:r w:rsidRPr="00FD6A6E">
        <w:t xml:space="preserve">. </w:t>
      </w:r>
      <w:r w:rsidR="005466FE" w:rsidRPr="00FD6A6E">
        <w:t xml:space="preserve">Studies in the Bábí and Bahá’í Religions, Vol. 16. Los Angeles: Kalimat Press, 2004.  </w:t>
      </w:r>
    </w:p>
    <w:p w14:paraId="092150CE" w14:textId="77777777" w:rsidR="005466FE" w:rsidRPr="00FD6A6E" w:rsidRDefault="005466FE" w:rsidP="000C02F9">
      <w:pPr>
        <w:ind w:left="360" w:hanging="360"/>
      </w:pPr>
    </w:p>
    <w:p w14:paraId="5E259A11" w14:textId="77777777" w:rsidR="005466FE" w:rsidRPr="00FD6A6E" w:rsidRDefault="00BE6AAD" w:rsidP="000C02F9">
      <w:pPr>
        <w:ind w:left="360" w:hanging="360"/>
      </w:pPr>
      <w:r w:rsidRPr="00FD6A6E">
        <w:t xml:space="preserve">Amanat, Abbas. </w:t>
      </w:r>
      <w:r w:rsidRPr="00FD6A6E">
        <w:rPr>
          <w:i/>
        </w:rPr>
        <w:t>Resurrection and Renewal: The Making of the Babi Movement in Iran, 1844-1850</w:t>
      </w:r>
      <w:r w:rsidR="007E1F87" w:rsidRPr="00FD6A6E">
        <w:t xml:space="preserve">. Ithaca: </w:t>
      </w:r>
      <w:r w:rsidRPr="00FD6A6E">
        <w:t>Cornell University Press, 1989.</w:t>
      </w:r>
    </w:p>
    <w:p w14:paraId="639476F5" w14:textId="77777777" w:rsidR="00BE6AAD" w:rsidRPr="00FD6A6E" w:rsidRDefault="00BE6AAD" w:rsidP="000C02F9">
      <w:pPr>
        <w:ind w:left="360" w:hanging="360"/>
      </w:pPr>
    </w:p>
    <w:p w14:paraId="51A48DB6" w14:textId="77777777" w:rsidR="00BE6AAD" w:rsidRPr="00FD6A6E" w:rsidRDefault="009A6B79" w:rsidP="000C02F9">
      <w:pPr>
        <w:ind w:left="360" w:hanging="360"/>
      </w:pPr>
      <w:r w:rsidRPr="00FD6A6E">
        <w:t>Banani, Amin;</w:t>
      </w:r>
      <w:r w:rsidR="00BE6AAD" w:rsidRPr="00FD6A6E">
        <w:t xml:space="preserve"> Jascha</w:t>
      </w:r>
      <w:r w:rsidRPr="00FD6A6E">
        <w:t xml:space="preserve"> Kessler; and</w:t>
      </w:r>
      <w:r w:rsidR="00BE6AAD" w:rsidRPr="00FD6A6E">
        <w:t xml:space="preserve"> Anthony A.</w:t>
      </w:r>
      <w:r w:rsidRPr="00FD6A6E">
        <w:t xml:space="preserve"> Lee, eds. And trans.,</w:t>
      </w:r>
      <w:r w:rsidR="00BE6AAD" w:rsidRPr="00FD6A6E">
        <w:t xml:space="preserve"> </w:t>
      </w:r>
      <w:r w:rsidR="00BE6AAD" w:rsidRPr="00FD6A6E">
        <w:rPr>
          <w:i/>
        </w:rPr>
        <w:t>Táhirih: A Portrait in Poetry</w:t>
      </w:r>
      <w:r w:rsidRPr="00FD6A6E">
        <w:rPr>
          <w:i/>
        </w:rPr>
        <w:t>: Selected Poems of Qurratu’l-‘Ayn</w:t>
      </w:r>
      <w:r w:rsidR="00BE6AAD" w:rsidRPr="00FD6A6E">
        <w:t xml:space="preserve">. Los Angeles: Kalimat Press, 2005.  </w:t>
      </w:r>
    </w:p>
    <w:p w14:paraId="30DD70DC" w14:textId="77777777" w:rsidR="00493AF4" w:rsidRPr="00FD6A6E" w:rsidRDefault="00493AF4" w:rsidP="000C02F9">
      <w:pPr>
        <w:ind w:left="360" w:hanging="360"/>
      </w:pPr>
    </w:p>
    <w:p w14:paraId="3A3F776C" w14:textId="77777777" w:rsidR="00493AF4" w:rsidRPr="00FD6A6E" w:rsidRDefault="00493AF4" w:rsidP="000C02F9">
      <w:pPr>
        <w:ind w:left="360" w:hanging="360"/>
      </w:pPr>
      <w:r w:rsidRPr="00FD6A6E">
        <w:t xml:space="preserve">Hatcher, John S. and </w:t>
      </w:r>
      <w:proofErr w:type="spellStart"/>
      <w:r w:rsidRPr="00FD6A6E">
        <w:t>Hemmat</w:t>
      </w:r>
      <w:proofErr w:type="spellEnd"/>
      <w:r w:rsidRPr="00FD6A6E">
        <w:t xml:space="preserve">, </w:t>
      </w:r>
      <w:proofErr w:type="spellStart"/>
      <w:r w:rsidRPr="00FD6A6E">
        <w:t>Amrollah</w:t>
      </w:r>
      <w:proofErr w:type="spellEnd"/>
      <w:r w:rsidRPr="00FD6A6E">
        <w:t xml:space="preserve">. </w:t>
      </w:r>
      <w:r w:rsidRPr="00FD6A6E">
        <w:rPr>
          <w:i/>
        </w:rPr>
        <w:t>Adam’s Wish: Unknown Poetry of Táhirih</w:t>
      </w:r>
      <w:r w:rsidRPr="00FD6A6E">
        <w:t>. Wilmette, Ill.: Bahá’í Publishing, 2008.</w:t>
      </w:r>
    </w:p>
    <w:p w14:paraId="2FD5395C" w14:textId="77777777" w:rsidR="00493AF4" w:rsidRPr="00FD6A6E" w:rsidRDefault="00493AF4" w:rsidP="000C02F9">
      <w:pPr>
        <w:ind w:left="360" w:hanging="360"/>
      </w:pPr>
    </w:p>
    <w:p w14:paraId="22065112" w14:textId="77777777" w:rsidR="00493AF4" w:rsidRPr="00FD6A6E" w:rsidRDefault="00493AF4" w:rsidP="000C02F9">
      <w:pPr>
        <w:ind w:left="360" w:hanging="360"/>
      </w:pPr>
      <w:r w:rsidRPr="00FD6A6E">
        <w:t xml:space="preserve">________. </w:t>
      </w:r>
      <w:r w:rsidRPr="00FD6A6E">
        <w:rPr>
          <w:i/>
        </w:rPr>
        <w:t>The Poetry of Táhirih</w:t>
      </w:r>
      <w:r w:rsidRPr="00FD6A6E">
        <w:t xml:space="preserve">. Oxford: George Ronald, 2002. </w:t>
      </w:r>
    </w:p>
    <w:p w14:paraId="6760E06D" w14:textId="77777777" w:rsidR="005F2C57" w:rsidRPr="00FD6A6E" w:rsidRDefault="005F2C57" w:rsidP="000C02F9">
      <w:pPr>
        <w:ind w:left="360" w:hanging="360"/>
      </w:pPr>
    </w:p>
    <w:p w14:paraId="0A8E9AFB" w14:textId="77777777" w:rsidR="005F2C57" w:rsidRPr="00FD6A6E" w:rsidRDefault="005F2C57" w:rsidP="000C02F9">
      <w:pPr>
        <w:ind w:left="360" w:hanging="360"/>
      </w:pPr>
      <w:r w:rsidRPr="00FD6A6E">
        <w:t xml:space="preserve">MacEoin, Denis Martin. </w:t>
      </w:r>
      <w:r w:rsidRPr="00FD6A6E">
        <w:rPr>
          <w:i/>
        </w:rPr>
        <w:t>The Messiah of Shiraz: Studies in Early and Middle Babism</w:t>
      </w:r>
      <w:r w:rsidRPr="00FD6A6E">
        <w:t xml:space="preserve">. Leiden: Brill, 2009.  </w:t>
      </w:r>
    </w:p>
    <w:p w14:paraId="1BDC3972" w14:textId="77777777" w:rsidR="00CE05D7" w:rsidRPr="00FD6A6E" w:rsidRDefault="00CE05D7" w:rsidP="000C02F9">
      <w:pPr>
        <w:ind w:left="360" w:hanging="360"/>
      </w:pPr>
    </w:p>
    <w:p w14:paraId="6A948EF9" w14:textId="77777777" w:rsidR="00BE6AAD" w:rsidRPr="00FD6A6E" w:rsidRDefault="00BE6AAD" w:rsidP="000C02F9">
      <w:pPr>
        <w:ind w:left="360" w:hanging="360"/>
      </w:pPr>
      <w:r w:rsidRPr="00FD6A6E">
        <w:t xml:space="preserve">Milani, </w:t>
      </w:r>
      <w:proofErr w:type="spellStart"/>
      <w:r w:rsidRPr="00FD6A6E">
        <w:t>Farzaneh</w:t>
      </w:r>
      <w:proofErr w:type="spellEnd"/>
      <w:r w:rsidRPr="00FD6A6E">
        <w:t xml:space="preserve">. </w:t>
      </w:r>
      <w:r w:rsidRPr="00FD6A6E">
        <w:rPr>
          <w:i/>
        </w:rPr>
        <w:t>Veils and Words: Emerging Voices of Iranian Women Writers</w:t>
      </w:r>
      <w:r w:rsidRPr="00FD6A6E">
        <w:t xml:space="preserve">. Syracuse University Press, 1992.  </w:t>
      </w:r>
    </w:p>
    <w:p w14:paraId="603DC803" w14:textId="77777777" w:rsidR="0051317A" w:rsidRPr="00FD6A6E" w:rsidRDefault="0051317A" w:rsidP="000C02F9">
      <w:pPr>
        <w:ind w:left="360" w:hanging="360"/>
      </w:pPr>
    </w:p>
    <w:p w14:paraId="3D2F07F6" w14:textId="77777777" w:rsidR="0051317A" w:rsidRPr="00FD6A6E" w:rsidRDefault="0051317A" w:rsidP="000C02F9">
      <w:pPr>
        <w:ind w:left="360" w:hanging="360"/>
      </w:pPr>
      <w:r w:rsidRPr="00FD6A6E">
        <w:t>Momen, Moojan. “The Family and Early Li</w:t>
      </w:r>
      <w:r w:rsidR="00636DAD" w:rsidRPr="00FD6A6E">
        <w:t xml:space="preserve">fe of Táhirih </w:t>
      </w:r>
      <w:proofErr w:type="spellStart"/>
      <w:r w:rsidR="00636DAD" w:rsidRPr="00FD6A6E">
        <w:t>Qurrat</w:t>
      </w:r>
      <w:proofErr w:type="spellEnd"/>
      <w:r w:rsidR="00636DAD" w:rsidRPr="00FD6A6E">
        <w:t xml:space="preserve"> al-‘Ayn,”</w:t>
      </w:r>
      <w:r w:rsidRPr="00FD6A6E">
        <w:t xml:space="preserve"> </w:t>
      </w:r>
      <w:r w:rsidRPr="00FD6A6E">
        <w:rPr>
          <w:i/>
        </w:rPr>
        <w:t>Bahá’í Studies Review</w:t>
      </w:r>
      <w:r w:rsidR="00636DAD" w:rsidRPr="00FD6A6E">
        <w:t xml:space="preserve"> 11 (2003):</w:t>
      </w:r>
      <w:r w:rsidRPr="00FD6A6E">
        <w:t xml:space="preserve"> 35-52. </w:t>
      </w:r>
    </w:p>
    <w:p w14:paraId="50513F49" w14:textId="77777777" w:rsidR="005F0ADE" w:rsidRPr="00FD6A6E" w:rsidRDefault="005F0ADE" w:rsidP="000C02F9">
      <w:pPr>
        <w:ind w:left="360" w:hanging="360"/>
      </w:pPr>
    </w:p>
    <w:p w14:paraId="57F5A1F8" w14:textId="77777777" w:rsidR="005F0ADE" w:rsidRPr="00FD6A6E" w:rsidRDefault="005F0ADE" w:rsidP="000C02F9">
      <w:pPr>
        <w:ind w:left="720" w:hanging="720"/>
        <w:rPr>
          <w:rFonts w:eastAsia="Calibri"/>
        </w:rPr>
      </w:pPr>
      <w:r w:rsidRPr="00FD6A6E">
        <w:rPr>
          <w:rFonts w:eastAsia="Calibri"/>
          <w:lang w:val="pl-PL"/>
        </w:rPr>
        <w:t>Nabíl-i-A’zam (Mullá Muhammad-i- Zarandí).</w:t>
      </w:r>
      <w:r w:rsidRPr="00FD6A6E">
        <w:rPr>
          <w:rFonts w:eastAsia="Calibri"/>
          <w:i/>
          <w:iCs/>
          <w:lang w:val="pl-PL"/>
        </w:rPr>
        <w:t xml:space="preserve"> </w:t>
      </w:r>
      <w:r w:rsidRPr="00FD6A6E">
        <w:rPr>
          <w:rFonts w:eastAsia="Calibri"/>
          <w:i/>
          <w:iCs/>
        </w:rPr>
        <w:t xml:space="preserve">The Dawn-Breakers: Nabíl’s Narrative of the Early Days of the Bahá’í Revelation; </w:t>
      </w:r>
      <w:r w:rsidRPr="00FD6A6E">
        <w:rPr>
          <w:rFonts w:eastAsia="Calibri"/>
        </w:rPr>
        <w:t xml:space="preserve">translated and edited by Shoghi Effendi. Wilmette, Ill.: Bahá’í Publishing Committee, 1932; </w:t>
      </w:r>
      <w:r w:rsidR="000E56E3" w:rsidRPr="00FD6A6E">
        <w:t>Second Edition:</w:t>
      </w:r>
      <w:r w:rsidRPr="00FD6A6E">
        <w:rPr>
          <w:rFonts w:eastAsia="Calibri"/>
        </w:rPr>
        <w:t xml:space="preserve"> Wilmette, Ill.:  Bahá’í Publishing Trust, 1970.</w:t>
      </w:r>
    </w:p>
    <w:p w14:paraId="055387C1" w14:textId="77777777" w:rsidR="00CF2FB6" w:rsidRPr="00FD6A6E" w:rsidRDefault="00CF2FB6" w:rsidP="000C02F9">
      <w:pPr>
        <w:ind w:left="720" w:hanging="720"/>
        <w:rPr>
          <w:rFonts w:eastAsia="Calibri"/>
        </w:rPr>
      </w:pPr>
    </w:p>
    <w:p w14:paraId="708BB6BA" w14:textId="77777777" w:rsidR="00A4589F" w:rsidRPr="00FD6A6E" w:rsidRDefault="00A4589F" w:rsidP="000C02F9">
      <w:pPr>
        <w:ind w:left="720" w:hanging="720"/>
        <w:rPr>
          <w:rFonts w:eastAsia="Calibri"/>
        </w:rPr>
      </w:pPr>
      <w:r w:rsidRPr="00FD6A6E">
        <w:rPr>
          <w:rFonts w:eastAsia="Calibri"/>
        </w:rPr>
        <w:t xml:space="preserve">Nakhjavani, Bahiyyih, </w:t>
      </w:r>
      <w:r w:rsidRPr="00FD6A6E">
        <w:rPr>
          <w:rFonts w:eastAsia="Calibri"/>
          <w:i/>
        </w:rPr>
        <w:t>The Woman Who Read Too Much: A Novel</w:t>
      </w:r>
      <w:r w:rsidRPr="00FD6A6E">
        <w:rPr>
          <w:rFonts w:eastAsia="Calibri"/>
        </w:rPr>
        <w:t>. Stanford University Press, 2015.</w:t>
      </w:r>
    </w:p>
    <w:p w14:paraId="3AEDDF94" w14:textId="77777777" w:rsidR="00A4589F" w:rsidRPr="00FD6A6E" w:rsidRDefault="00A4589F" w:rsidP="000C02F9">
      <w:pPr>
        <w:ind w:left="720" w:hanging="720"/>
        <w:rPr>
          <w:rFonts w:eastAsia="Calibri"/>
        </w:rPr>
      </w:pPr>
    </w:p>
    <w:p w14:paraId="52A6FAB8" w14:textId="77777777" w:rsidR="00CF2FB6" w:rsidRPr="00FD6A6E" w:rsidRDefault="00CF2FB6" w:rsidP="000C02F9">
      <w:pPr>
        <w:ind w:left="720" w:hanging="720"/>
      </w:pPr>
      <w:r w:rsidRPr="00FD6A6E">
        <w:rPr>
          <w:rFonts w:eastAsia="Calibri"/>
        </w:rPr>
        <w:t xml:space="preserve">Nash, Geoffrey, ed. </w:t>
      </w:r>
      <w:r w:rsidRPr="00FD6A6E">
        <w:rPr>
          <w:rFonts w:eastAsia="Calibri"/>
          <w:i/>
        </w:rPr>
        <w:t xml:space="preserve">Comte de </w:t>
      </w:r>
      <w:proofErr w:type="spellStart"/>
      <w:r w:rsidRPr="00FD6A6E">
        <w:rPr>
          <w:rFonts w:eastAsia="Calibri"/>
          <w:i/>
        </w:rPr>
        <w:t>Gobineau</w:t>
      </w:r>
      <w:proofErr w:type="spellEnd"/>
      <w:r w:rsidRPr="00FD6A6E">
        <w:rPr>
          <w:rFonts w:eastAsia="Calibri"/>
          <w:i/>
        </w:rPr>
        <w:t xml:space="preserve"> and Orientalism: Selected eastern writings</w:t>
      </w:r>
      <w:r w:rsidRPr="00FD6A6E">
        <w:rPr>
          <w:rFonts w:eastAsia="Calibri"/>
        </w:rPr>
        <w:t>. London: Routledge, 2009.</w:t>
      </w:r>
    </w:p>
    <w:p w14:paraId="6AED4965" w14:textId="77777777" w:rsidR="00B36BBB" w:rsidRPr="00FD6A6E" w:rsidRDefault="00B36BBB" w:rsidP="000C02F9">
      <w:pPr>
        <w:ind w:left="720" w:hanging="720"/>
        <w:rPr>
          <w:rFonts w:eastAsia="Calibri"/>
        </w:rPr>
      </w:pPr>
    </w:p>
    <w:p w14:paraId="2C259EC1" w14:textId="77777777" w:rsidR="008D632A" w:rsidRPr="00FD6A6E" w:rsidRDefault="008D632A" w:rsidP="000C02F9">
      <w:pPr>
        <w:ind w:left="720" w:hanging="720"/>
        <w:rPr>
          <w:rFonts w:eastAsia="Calibri"/>
        </w:rPr>
      </w:pPr>
      <w:proofErr w:type="spellStart"/>
      <w:r w:rsidRPr="00FD6A6E">
        <w:rPr>
          <w:rFonts w:eastAsia="Calibri"/>
        </w:rPr>
        <w:t>Nuqaba’i</w:t>
      </w:r>
      <w:proofErr w:type="spellEnd"/>
      <w:r w:rsidRPr="00FD6A6E">
        <w:rPr>
          <w:rFonts w:eastAsia="Calibri"/>
        </w:rPr>
        <w:t xml:space="preserve">, </w:t>
      </w:r>
      <w:proofErr w:type="spellStart"/>
      <w:r w:rsidRPr="00FD6A6E">
        <w:rPr>
          <w:rFonts w:eastAsia="Calibri"/>
        </w:rPr>
        <w:t>Husam</w:t>
      </w:r>
      <w:proofErr w:type="spellEnd"/>
      <w:r w:rsidRPr="00FD6A6E">
        <w:rPr>
          <w:rFonts w:eastAsia="Calibri"/>
        </w:rPr>
        <w:t xml:space="preserve">. </w:t>
      </w:r>
      <w:r w:rsidRPr="00FD6A6E">
        <w:rPr>
          <w:rFonts w:eastAsia="Calibri"/>
          <w:i/>
        </w:rPr>
        <w:t>Táhirih: Qurratu’l-‘Ayn</w:t>
      </w:r>
      <w:r w:rsidRPr="00FD6A6E">
        <w:rPr>
          <w:rFonts w:eastAsia="Calibri"/>
        </w:rPr>
        <w:t>. Tehran: Baha’i Publishing Committee, 128 Badi’ (1972).</w:t>
      </w:r>
    </w:p>
    <w:p w14:paraId="3A481DB7" w14:textId="77777777" w:rsidR="00B36BBB" w:rsidRPr="00FD6A6E" w:rsidRDefault="00B36BBB" w:rsidP="000C02F9">
      <w:pPr>
        <w:ind w:left="720" w:hanging="720"/>
        <w:rPr>
          <w:rFonts w:eastAsia="Calibri"/>
        </w:rPr>
      </w:pPr>
      <w:r w:rsidRPr="00FD6A6E">
        <w:rPr>
          <w:rFonts w:eastAsia="Calibri"/>
        </w:rPr>
        <w:t xml:space="preserve">Root, Martha L. </w:t>
      </w:r>
      <w:r w:rsidRPr="00FD6A6E">
        <w:rPr>
          <w:rFonts w:eastAsia="Calibri"/>
          <w:i/>
          <w:iCs/>
        </w:rPr>
        <w:t>Táhirih the Pure, Iran’s Greatest Woman</w:t>
      </w:r>
      <w:r w:rsidRPr="00FD6A6E">
        <w:rPr>
          <w:rFonts w:eastAsia="Calibri"/>
        </w:rPr>
        <w:t xml:space="preserve">. [Karachi: </w:t>
      </w:r>
      <w:r w:rsidRPr="00FD6A6E">
        <w:t>by the author</w:t>
      </w:r>
      <w:r w:rsidRPr="00FD6A6E">
        <w:rPr>
          <w:rFonts w:eastAsia="Calibri"/>
        </w:rPr>
        <w:t xml:space="preserve">], 1938. </w:t>
      </w:r>
      <w:r w:rsidRPr="00FD6A6E">
        <w:t>Reprint: Los Angeles: Kalimat Press, 1981.</w:t>
      </w:r>
    </w:p>
    <w:p w14:paraId="7BA8D9E2" w14:textId="77777777" w:rsidR="00CE05D7" w:rsidRPr="00FD6A6E" w:rsidRDefault="00CE05D7" w:rsidP="000C02F9"/>
    <w:p w14:paraId="17BB9C3B" w14:textId="77777777" w:rsidR="00CE05D7" w:rsidRPr="00FD6A6E" w:rsidRDefault="00CE05D7" w:rsidP="000C02F9">
      <w:pPr>
        <w:ind w:left="360" w:hanging="360"/>
      </w:pPr>
      <w:r w:rsidRPr="00FD6A6E">
        <w:t xml:space="preserve">Smith, Peter. “Táhirih” in </w:t>
      </w:r>
      <w:r w:rsidRPr="00FD6A6E">
        <w:rPr>
          <w:i/>
        </w:rPr>
        <w:t>A Concise Encyclopedia of the Bahá’í Faith.</w:t>
      </w:r>
      <w:r w:rsidRPr="00FD6A6E">
        <w:t xml:space="preserve"> Oxford: Oneworld, 2000.</w:t>
      </w:r>
    </w:p>
    <w:sectPr w:rsidR="00CE05D7" w:rsidRPr="00FD6A6E" w:rsidSect="00FD6A6E">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A9467" w14:textId="77777777" w:rsidR="008E12B1" w:rsidRDefault="008E12B1" w:rsidP="008324CF">
      <w:r>
        <w:separator/>
      </w:r>
    </w:p>
  </w:endnote>
  <w:endnote w:type="continuationSeparator" w:id="0">
    <w:p w14:paraId="09E68884" w14:textId="77777777" w:rsidR="008E12B1" w:rsidRDefault="008E12B1" w:rsidP="0083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Segoe UI">
    <w:charset w:val="00"/>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530EB" w14:textId="77777777" w:rsidR="008E12B1" w:rsidRDefault="008E12B1" w:rsidP="008324CF">
      <w:r>
        <w:separator/>
      </w:r>
    </w:p>
  </w:footnote>
  <w:footnote w:type="continuationSeparator" w:id="0">
    <w:p w14:paraId="58AC9790" w14:textId="77777777" w:rsidR="008E12B1" w:rsidRDefault="008E12B1" w:rsidP="008324CF">
      <w:r>
        <w:continuationSeparator/>
      </w:r>
    </w:p>
  </w:footnote>
  <w:footnote w:id="1">
    <w:p w14:paraId="004A8A25" w14:textId="77777777" w:rsidR="008E12B1" w:rsidRPr="003F283B" w:rsidRDefault="008E12B1">
      <w:pPr>
        <w:pStyle w:val="FootnoteText"/>
      </w:pPr>
      <w:r>
        <w:rPr>
          <w:rStyle w:val="FootnoteReference"/>
        </w:rPr>
        <w:footnoteRef/>
      </w:r>
      <w:r>
        <w:t xml:space="preserve"> ‘Abdu’l-Baha, </w:t>
      </w:r>
      <w:r>
        <w:rPr>
          <w:i/>
        </w:rPr>
        <w:t>Memorials of the Faithful</w:t>
      </w:r>
      <w:r>
        <w:t xml:space="preserve"> (Wilmette, IL: Baha’i Publishing Trust, 1971), 190.</w:t>
      </w:r>
    </w:p>
  </w:footnote>
  <w:footnote w:id="2">
    <w:p w14:paraId="46A268EF" w14:textId="77777777" w:rsidR="008E12B1" w:rsidRPr="008E71ED" w:rsidRDefault="008E12B1">
      <w:pPr>
        <w:pStyle w:val="FootnoteText"/>
      </w:pPr>
      <w:r>
        <w:rPr>
          <w:rStyle w:val="FootnoteReference"/>
        </w:rPr>
        <w:footnoteRef/>
      </w:r>
      <w:r>
        <w:t xml:space="preserve"> Susan Maneck, “Tahirih: A Religious Paradigm of Womanhood,” in </w:t>
      </w:r>
      <w:r>
        <w:rPr>
          <w:i/>
        </w:rPr>
        <w:t>Tahirih in History</w:t>
      </w:r>
      <w:r>
        <w:t xml:space="preserve">, ed. </w:t>
      </w:r>
      <w:proofErr w:type="spellStart"/>
      <w:r>
        <w:t>Sabir</w:t>
      </w:r>
      <w:proofErr w:type="spellEnd"/>
      <w:r>
        <w:t xml:space="preserve"> </w:t>
      </w:r>
      <w:proofErr w:type="spellStart"/>
      <w:r>
        <w:t>Afaqi</w:t>
      </w:r>
      <w:proofErr w:type="spellEnd"/>
      <w:r>
        <w:t xml:space="preserve"> (Los Angeles: Kalimat Press, 2004), 197.</w:t>
      </w:r>
    </w:p>
  </w:footnote>
  <w:footnote w:id="3">
    <w:p w14:paraId="5FA07B34" w14:textId="77777777" w:rsidR="008E12B1" w:rsidRDefault="008E12B1">
      <w:pPr>
        <w:pStyle w:val="FootnoteText"/>
      </w:pPr>
      <w:r>
        <w:rPr>
          <w:rStyle w:val="FootnoteReference"/>
        </w:rPr>
        <w:footnoteRef/>
      </w:r>
      <w:r>
        <w:t xml:space="preserve"> See Moojan Momen “Family and Early Life,” passim.  </w:t>
      </w:r>
    </w:p>
  </w:footnote>
  <w:footnote w:id="4">
    <w:p w14:paraId="2AA37513" w14:textId="77777777" w:rsidR="008E12B1" w:rsidRPr="009A6B79" w:rsidRDefault="008E12B1" w:rsidP="009A6B79">
      <w:pPr>
        <w:ind w:left="360" w:hanging="360"/>
        <w:rPr>
          <w:sz w:val="20"/>
          <w:szCs w:val="20"/>
        </w:rPr>
      </w:pPr>
      <w:r>
        <w:rPr>
          <w:rStyle w:val="FootnoteReference"/>
        </w:rPr>
        <w:footnoteRef/>
      </w:r>
      <w:r>
        <w:t xml:space="preserve"> </w:t>
      </w:r>
      <w:r w:rsidRPr="007E1F87">
        <w:rPr>
          <w:sz w:val="20"/>
          <w:szCs w:val="20"/>
        </w:rPr>
        <w:t xml:space="preserve">Amin Banani, Jascha Kessler, and Anthony A. Lee, trans., </w:t>
      </w:r>
      <w:r w:rsidRPr="007E1F87">
        <w:rPr>
          <w:i/>
          <w:sz w:val="20"/>
          <w:szCs w:val="20"/>
        </w:rPr>
        <w:t>Táhirih: A Portrait in Poetry: Selected Poems of Qurratu’l</w:t>
      </w:r>
      <w:r w:rsidRPr="009A6B79">
        <w:rPr>
          <w:i/>
          <w:sz w:val="20"/>
          <w:szCs w:val="20"/>
        </w:rPr>
        <w:t>-‘Ayn</w:t>
      </w:r>
      <w:r>
        <w:rPr>
          <w:sz w:val="20"/>
          <w:szCs w:val="20"/>
        </w:rPr>
        <w:t xml:space="preserve"> (</w:t>
      </w:r>
      <w:r w:rsidRPr="009A6B79">
        <w:rPr>
          <w:sz w:val="20"/>
          <w:szCs w:val="20"/>
        </w:rPr>
        <w:t>Los Angeles: Kalimat Press, 2005</w:t>
      </w:r>
      <w:r>
        <w:rPr>
          <w:sz w:val="20"/>
          <w:szCs w:val="20"/>
        </w:rPr>
        <w:t xml:space="preserve">), </w:t>
      </w:r>
      <w:r w:rsidRPr="009A6B79">
        <w:rPr>
          <w:sz w:val="20"/>
          <w:szCs w:val="20"/>
        </w:rPr>
        <w:t xml:space="preserve">3. </w:t>
      </w:r>
    </w:p>
  </w:footnote>
  <w:footnote w:id="5">
    <w:p w14:paraId="5BCF250E" w14:textId="77777777" w:rsidR="008E12B1" w:rsidRPr="007E1F87" w:rsidRDefault="008E12B1" w:rsidP="007E1F87">
      <w:pPr>
        <w:ind w:left="360" w:hanging="360"/>
        <w:rPr>
          <w:sz w:val="20"/>
          <w:szCs w:val="20"/>
        </w:rPr>
      </w:pPr>
      <w:r w:rsidRPr="009A6B79">
        <w:rPr>
          <w:rStyle w:val="FootnoteReference"/>
          <w:sz w:val="20"/>
          <w:szCs w:val="20"/>
        </w:rPr>
        <w:footnoteRef/>
      </w:r>
      <w:r w:rsidRPr="009A6B79">
        <w:rPr>
          <w:sz w:val="20"/>
          <w:szCs w:val="20"/>
        </w:rPr>
        <w:t xml:space="preserve"> </w:t>
      </w:r>
      <w:r>
        <w:rPr>
          <w:sz w:val="20"/>
          <w:szCs w:val="20"/>
        </w:rPr>
        <w:t>Abbas Amanat,</w:t>
      </w:r>
      <w:r w:rsidRPr="007E1F87">
        <w:rPr>
          <w:sz w:val="20"/>
          <w:szCs w:val="20"/>
        </w:rPr>
        <w:t xml:space="preserve"> </w:t>
      </w:r>
      <w:r w:rsidRPr="007E1F87">
        <w:rPr>
          <w:i/>
          <w:sz w:val="20"/>
          <w:szCs w:val="20"/>
        </w:rPr>
        <w:t>Resurrection and Renewal: The Making of the Babi Movement in Iran, 1844-1850</w:t>
      </w:r>
      <w:r>
        <w:rPr>
          <w:sz w:val="20"/>
          <w:szCs w:val="20"/>
        </w:rPr>
        <w:t>. Ithaca: Cornell University Press, 1989)</w:t>
      </w:r>
      <w:r w:rsidRPr="007E1F87">
        <w:rPr>
          <w:sz w:val="20"/>
          <w:szCs w:val="20"/>
        </w:rPr>
        <w:t>, 302.</w:t>
      </w:r>
    </w:p>
  </w:footnote>
  <w:footnote w:id="6">
    <w:p w14:paraId="34CD6B0B" w14:textId="77777777" w:rsidR="008E12B1" w:rsidRPr="007E1F87" w:rsidRDefault="008E12B1" w:rsidP="007E1F87">
      <w:pPr>
        <w:ind w:left="720" w:hanging="360"/>
        <w:rPr>
          <w:sz w:val="20"/>
          <w:szCs w:val="20"/>
        </w:rPr>
      </w:pPr>
      <w:r>
        <w:rPr>
          <w:rStyle w:val="FootnoteReference"/>
        </w:rPr>
        <w:footnoteRef/>
      </w:r>
      <w:r>
        <w:t xml:space="preserve"> </w:t>
      </w:r>
      <w:r>
        <w:rPr>
          <w:sz w:val="20"/>
          <w:szCs w:val="20"/>
        </w:rPr>
        <w:t>Denis Martin MacEoin,</w:t>
      </w:r>
      <w:r w:rsidRPr="007E1F87">
        <w:rPr>
          <w:sz w:val="20"/>
          <w:szCs w:val="20"/>
        </w:rPr>
        <w:t xml:space="preserve"> </w:t>
      </w:r>
      <w:r w:rsidRPr="007E1F87">
        <w:rPr>
          <w:i/>
          <w:sz w:val="20"/>
          <w:szCs w:val="20"/>
        </w:rPr>
        <w:t>The Messiah of Shiraz: Studies in Early and Middle Babism</w:t>
      </w:r>
      <w:r>
        <w:rPr>
          <w:sz w:val="20"/>
          <w:szCs w:val="20"/>
        </w:rPr>
        <w:t xml:space="preserve"> (Leiden: Brill, 2009)</w:t>
      </w:r>
      <w:r>
        <w:t>, 244.</w:t>
      </w:r>
    </w:p>
  </w:footnote>
  <w:footnote w:id="7">
    <w:p w14:paraId="4790607C" w14:textId="77777777" w:rsidR="008E12B1" w:rsidRPr="00726F82" w:rsidRDefault="008E12B1">
      <w:pPr>
        <w:pStyle w:val="FootnoteText"/>
      </w:pPr>
      <w:r>
        <w:rPr>
          <w:rStyle w:val="FootnoteReference"/>
        </w:rPr>
        <w:footnoteRef/>
      </w:r>
      <w:r>
        <w:t xml:space="preserve"> Cf. A.-L.-M. Nicholas, “</w:t>
      </w:r>
      <w:proofErr w:type="spellStart"/>
      <w:r>
        <w:t>Qourrè-oul-Aïne</w:t>
      </w:r>
      <w:proofErr w:type="spellEnd"/>
      <w:r>
        <w:t xml:space="preserve">” trans. Peter Terry in </w:t>
      </w:r>
      <w:r>
        <w:rPr>
          <w:i/>
        </w:rPr>
        <w:t>Táhirih in History: Perspectives on Qurratu’l-‘Ayn from East and West</w:t>
      </w:r>
      <w:r>
        <w:t xml:space="preserve">, ed. </w:t>
      </w:r>
      <w:proofErr w:type="spellStart"/>
      <w:r>
        <w:t>Sabir</w:t>
      </w:r>
      <w:proofErr w:type="spellEnd"/>
      <w:r>
        <w:t xml:space="preserve"> </w:t>
      </w:r>
      <w:proofErr w:type="spellStart"/>
      <w:r>
        <w:t>Afaqi</w:t>
      </w:r>
      <w:proofErr w:type="spellEnd"/>
      <w:r>
        <w:t xml:space="preserve"> (Los Angeles: Kalimát Press, 2004), 106-107.</w:t>
      </w:r>
    </w:p>
  </w:footnote>
  <w:footnote w:id="8">
    <w:p w14:paraId="08D24693" w14:textId="77777777" w:rsidR="008E12B1" w:rsidRPr="009B729F" w:rsidRDefault="008E12B1">
      <w:pPr>
        <w:pStyle w:val="FootnoteText"/>
      </w:pPr>
      <w:r>
        <w:rPr>
          <w:rStyle w:val="FootnoteReference"/>
        </w:rPr>
        <w:footnoteRef/>
      </w:r>
      <w:r>
        <w:t xml:space="preserve"> From “Start Shouting!” in Banani, </w:t>
      </w:r>
      <w:r>
        <w:rPr>
          <w:i/>
        </w:rPr>
        <w:t>Tahirih: A Portrait in Poetry</w:t>
      </w:r>
      <w:r>
        <w:t>, 58.</w:t>
      </w:r>
    </w:p>
  </w:footnote>
  <w:footnote w:id="9">
    <w:p w14:paraId="05EA1A7F" w14:textId="77777777" w:rsidR="008E12B1" w:rsidRPr="00394991" w:rsidRDefault="008E12B1">
      <w:pPr>
        <w:pStyle w:val="FootnoteText"/>
      </w:pPr>
      <w:r>
        <w:rPr>
          <w:rStyle w:val="FootnoteReference"/>
        </w:rPr>
        <w:footnoteRef/>
      </w:r>
      <w:r>
        <w:t xml:space="preserve"> Banani, </w:t>
      </w:r>
      <w:r>
        <w:rPr>
          <w:i/>
        </w:rPr>
        <w:t>Tahirih: A Portrait in Poetry</w:t>
      </w:r>
      <w:r>
        <w:t>, 4-5.</w:t>
      </w:r>
    </w:p>
  </w:footnote>
  <w:footnote w:id="10">
    <w:p w14:paraId="01072A3F" w14:textId="77777777" w:rsidR="008E12B1" w:rsidRDefault="008E12B1">
      <w:pPr>
        <w:pStyle w:val="FootnoteText"/>
      </w:pPr>
      <w:r>
        <w:rPr>
          <w:rStyle w:val="FootnoteReference"/>
        </w:rPr>
        <w:footnoteRef/>
      </w:r>
      <w:r>
        <w:t xml:space="preserve"> Banani, </w:t>
      </w:r>
      <w:r>
        <w:rPr>
          <w:i/>
        </w:rPr>
        <w:t>Tahirih: A Portrait in Poetry</w:t>
      </w:r>
      <w:r>
        <w:t xml:space="preserve">, 47.  </w:t>
      </w:r>
    </w:p>
  </w:footnote>
  <w:footnote w:id="11">
    <w:p w14:paraId="0AEC5788" w14:textId="77777777" w:rsidR="008E12B1" w:rsidRPr="00B7292E" w:rsidRDefault="008E12B1" w:rsidP="00B7292E">
      <w:pPr>
        <w:pStyle w:val="FootnoteText"/>
      </w:pPr>
      <w:r>
        <w:rPr>
          <w:rStyle w:val="FootnoteReference"/>
        </w:rPr>
        <w:footnoteRef/>
      </w:r>
      <w:r>
        <w:t xml:space="preserve"> </w:t>
      </w:r>
      <w:r w:rsidRPr="00B7292E">
        <w:t xml:space="preserve">If so, </w:t>
      </w:r>
      <w:r>
        <w:t xml:space="preserve">it seems to me that </w:t>
      </w:r>
      <w:r w:rsidRPr="00B7292E">
        <w:t xml:space="preserve">this poem alone is sufficient grounds for historians to reevaluate the entire Babi movement.  </w:t>
      </w:r>
      <w:r>
        <w:t xml:space="preserve">Tahirih, it appears, was able to discern themes in the movement that have escaped the notice of most historians.  </w:t>
      </w:r>
    </w:p>
    <w:p w14:paraId="27E6A911" w14:textId="77777777" w:rsidR="008E12B1" w:rsidRDefault="008E12B1">
      <w:pPr>
        <w:pStyle w:val="FootnoteText"/>
      </w:pPr>
    </w:p>
  </w:footnote>
  <w:footnote w:id="12">
    <w:p w14:paraId="56F0BA0B" w14:textId="77777777" w:rsidR="008E12B1" w:rsidRDefault="008E12B1">
      <w:pPr>
        <w:pStyle w:val="FootnoteText"/>
      </w:pPr>
      <w:r>
        <w:rPr>
          <w:rStyle w:val="FootnoteReference"/>
        </w:rPr>
        <w:footnoteRef/>
      </w:r>
      <w:r>
        <w:t xml:space="preserve"> Banani, </w:t>
      </w:r>
      <w:r>
        <w:rPr>
          <w:i/>
        </w:rPr>
        <w:t>Tahirih: A Portrait in Poetry</w:t>
      </w:r>
      <w:r>
        <w:t xml:space="preserve">, 79.  </w:t>
      </w:r>
    </w:p>
  </w:footnote>
  <w:footnote w:id="13">
    <w:p w14:paraId="6C1E176A" w14:textId="77777777" w:rsidR="008E12B1" w:rsidRPr="005B0894" w:rsidRDefault="008E12B1">
      <w:pPr>
        <w:pStyle w:val="FootnoteText"/>
      </w:pPr>
      <w:r>
        <w:rPr>
          <w:rStyle w:val="FootnoteReference"/>
        </w:rPr>
        <w:footnoteRef/>
      </w:r>
      <w:r>
        <w:t xml:space="preserve"> Ibid., 97.  </w:t>
      </w:r>
    </w:p>
  </w:footnote>
  <w:footnote w:id="14">
    <w:p w14:paraId="597536BE" w14:textId="77777777" w:rsidR="008E12B1" w:rsidRDefault="008E12B1" w:rsidP="00CA4D11">
      <w:pPr>
        <w:rPr>
          <w:sz w:val="20"/>
          <w:szCs w:val="20"/>
        </w:rPr>
      </w:pPr>
      <w:r w:rsidRPr="00CA4D11">
        <w:rPr>
          <w:rStyle w:val="FootnoteReference"/>
          <w:sz w:val="20"/>
          <w:szCs w:val="20"/>
        </w:rPr>
        <w:footnoteRef/>
      </w:r>
      <w:r>
        <w:rPr>
          <w:sz w:val="20"/>
          <w:szCs w:val="20"/>
        </w:rPr>
        <w:t xml:space="preserve"> Ibid., </w:t>
      </w:r>
      <w:r w:rsidRPr="00CA4D11">
        <w:rPr>
          <w:sz w:val="20"/>
          <w:szCs w:val="20"/>
        </w:rPr>
        <w:t>53.  Alternately, the opening lines of the poem can be translated</w:t>
      </w:r>
      <w:r>
        <w:rPr>
          <w:sz w:val="20"/>
          <w:szCs w:val="20"/>
        </w:rPr>
        <w:t>, and perhaps more clearly, as</w:t>
      </w:r>
      <w:r w:rsidRPr="00CA4D11">
        <w:rPr>
          <w:sz w:val="20"/>
          <w:szCs w:val="20"/>
        </w:rPr>
        <w:t xml:space="preserve">: </w:t>
      </w:r>
    </w:p>
    <w:p w14:paraId="00C1ECF8" w14:textId="77777777" w:rsidR="008E12B1" w:rsidRDefault="008E12B1" w:rsidP="009B729F">
      <w:pPr>
        <w:ind w:firstLine="720"/>
        <w:rPr>
          <w:sz w:val="20"/>
          <w:szCs w:val="20"/>
        </w:rPr>
      </w:pPr>
      <w:r w:rsidRPr="00CA4D11">
        <w:rPr>
          <w:sz w:val="20"/>
          <w:szCs w:val="20"/>
        </w:rPr>
        <w:t>Now hear me!/Since I pro</w:t>
      </w:r>
      <w:r>
        <w:rPr>
          <w:sz w:val="20"/>
          <w:szCs w:val="20"/>
        </w:rPr>
        <w:t>claim what’s manifest and true.</w:t>
      </w:r>
    </w:p>
    <w:p w14:paraId="2AACA6AF" w14:textId="77777777" w:rsidR="008E12B1" w:rsidRDefault="008E12B1" w:rsidP="009B729F">
      <w:pPr>
        <w:ind w:firstLine="720"/>
        <w:rPr>
          <w:sz w:val="20"/>
          <w:szCs w:val="20"/>
        </w:rPr>
      </w:pPr>
      <w:r w:rsidRPr="00CA4D11">
        <w:rPr>
          <w:sz w:val="20"/>
          <w:szCs w:val="20"/>
        </w:rPr>
        <w:t>I sp</w:t>
      </w:r>
      <w:r>
        <w:rPr>
          <w:sz w:val="20"/>
          <w:szCs w:val="20"/>
        </w:rPr>
        <w:t>eak the word of victory to you.</w:t>
      </w:r>
    </w:p>
    <w:p w14:paraId="3C835115" w14:textId="77777777" w:rsidR="008E12B1" w:rsidRDefault="008E12B1" w:rsidP="009B729F">
      <w:pPr>
        <w:ind w:firstLine="720"/>
        <w:rPr>
          <w:sz w:val="20"/>
          <w:szCs w:val="20"/>
        </w:rPr>
      </w:pPr>
      <w:r w:rsidRPr="00CA4D11">
        <w:rPr>
          <w:sz w:val="20"/>
          <w:szCs w:val="20"/>
        </w:rPr>
        <w:t>Strip off your</w:t>
      </w:r>
      <w:r>
        <w:rPr>
          <w:sz w:val="20"/>
          <w:szCs w:val="20"/>
        </w:rPr>
        <w:t xml:space="preserve"> rags of law and pious fashion.</w:t>
      </w:r>
    </w:p>
    <w:p w14:paraId="14CA58E1" w14:textId="77777777" w:rsidR="008E12B1" w:rsidRPr="00CA4D11" w:rsidRDefault="008E12B1" w:rsidP="009B729F">
      <w:pPr>
        <w:ind w:firstLine="720"/>
        <w:rPr>
          <w:sz w:val="20"/>
          <w:szCs w:val="20"/>
        </w:rPr>
      </w:pPr>
      <w:r w:rsidRPr="00CA4D11">
        <w:rPr>
          <w:sz w:val="20"/>
          <w:szCs w:val="20"/>
        </w:rPr>
        <w:t>Leap na</w:t>
      </w:r>
      <w:r>
        <w:rPr>
          <w:sz w:val="20"/>
          <w:szCs w:val="20"/>
        </w:rPr>
        <w:t>ked into the sea of compassion!</w:t>
      </w:r>
    </w:p>
  </w:footnote>
  <w:footnote w:id="15">
    <w:p w14:paraId="31C05B0C" w14:textId="77777777" w:rsidR="008E12B1" w:rsidRDefault="008E12B1">
      <w:pPr>
        <w:pStyle w:val="FootnoteText"/>
      </w:pPr>
      <w:r>
        <w:rPr>
          <w:rStyle w:val="FootnoteReference"/>
        </w:rPr>
        <w:footnoteRef/>
      </w:r>
      <w:r>
        <w:t xml:space="preserve"> Banani, </w:t>
      </w:r>
      <w:r>
        <w:rPr>
          <w:i/>
        </w:rPr>
        <w:t>Tahirih: A Portrait in Poetry</w:t>
      </w:r>
      <w:r>
        <w:t xml:space="preserve">, 51.  </w:t>
      </w:r>
    </w:p>
  </w:footnote>
  <w:footnote w:id="16">
    <w:p w14:paraId="3B71B4C0" w14:textId="77777777" w:rsidR="008E12B1" w:rsidRDefault="008E12B1">
      <w:pPr>
        <w:pStyle w:val="FootnoteText"/>
      </w:pPr>
      <w:r>
        <w:rPr>
          <w:rStyle w:val="FootnoteReference"/>
        </w:rPr>
        <w:footnoteRef/>
      </w:r>
      <w:r>
        <w:t xml:space="preserve"> Ibid., 61.</w:t>
      </w:r>
    </w:p>
  </w:footnote>
  <w:footnote w:id="17">
    <w:p w14:paraId="142FF7FA" w14:textId="77777777" w:rsidR="008E12B1" w:rsidRDefault="008E12B1">
      <w:pPr>
        <w:pStyle w:val="FootnoteText"/>
      </w:pPr>
      <w:r>
        <w:rPr>
          <w:rStyle w:val="FootnoteReference"/>
        </w:rPr>
        <w:footnoteRef/>
      </w:r>
      <w:r>
        <w:t xml:space="preserve"> Ibid., 77.</w:t>
      </w:r>
    </w:p>
  </w:footnote>
  <w:footnote w:id="18">
    <w:p w14:paraId="0F48FD93" w14:textId="77777777" w:rsidR="008E12B1" w:rsidRDefault="008E12B1">
      <w:pPr>
        <w:pStyle w:val="FootnoteText"/>
      </w:pPr>
      <w:r>
        <w:rPr>
          <w:rStyle w:val="FootnoteReference"/>
        </w:rPr>
        <w:footnoteRef/>
      </w:r>
      <w:r>
        <w:t xml:space="preserve"> Banani, </w:t>
      </w:r>
      <w:r>
        <w:rPr>
          <w:i/>
        </w:rPr>
        <w:t>Tahirih: A Portrait in Poetry</w:t>
      </w:r>
      <w:r>
        <w:t>, 104.</w:t>
      </w:r>
    </w:p>
  </w:footnote>
  <w:footnote w:id="19">
    <w:p w14:paraId="7E34BC60" w14:textId="77777777" w:rsidR="008E12B1" w:rsidRPr="003C6E2A" w:rsidRDefault="008E12B1">
      <w:pPr>
        <w:pStyle w:val="FootnoteText"/>
      </w:pPr>
      <w:r>
        <w:rPr>
          <w:rStyle w:val="FootnoteReference"/>
        </w:rPr>
        <w:footnoteRef/>
      </w:r>
      <w:r>
        <w:t xml:space="preserve">  </w:t>
      </w:r>
      <w:proofErr w:type="spellStart"/>
      <w:r>
        <w:t>Husam</w:t>
      </w:r>
      <w:proofErr w:type="spellEnd"/>
      <w:r>
        <w:t xml:space="preserve"> </w:t>
      </w:r>
      <w:proofErr w:type="spellStart"/>
      <w:r>
        <w:t>Nuqaba’i</w:t>
      </w:r>
      <w:proofErr w:type="spellEnd"/>
      <w:r>
        <w:t xml:space="preserve">, </w:t>
      </w:r>
      <w:r>
        <w:rPr>
          <w:i/>
        </w:rPr>
        <w:t xml:space="preserve">Tahirih: </w:t>
      </w:r>
      <w:proofErr w:type="spellStart"/>
      <w:r>
        <w:rPr>
          <w:i/>
        </w:rPr>
        <w:t>Qurratu’l’Ayn</w:t>
      </w:r>
      <w:proofErr w:type="spellEnd"/>
      <w:r>
        <w:t xml:space="preserve"> (Tehran: Baha’i Publishing Committee, 128 Badi’ [1972]), 60.</w:t>
      </w:r>
    </w:p>
  </w:footnote>
  <w:footnote w:id="20">
    <w:p w14:paraId="482BB61F" w14:textId="77777777" w:rsidR="008E12B1" w:rsidRPr="00917A09" w:rsidRDefault="008E12B1">
      <w:pPr>
        <w:pStyle w:val="FootnoteText"/>
      </w:pPr>
      <w:r>
        <w:rPr>
          <w:rStyle w:val="FootnoteReference"/>
        </w:rPr>
        <w:footnoteRef/>
      </w:r>
      <w:r>
        <w:t xml:space="preserve"> </w:t>
      </w:r>
      <w:r w:rsidRPr="00B81642">
        <w:rPr>
          <w:lang w:val="pl-PL"/>
        </w:rPr>
        <w:t>Nabíl-i-A’zam (Mullá Muhammad-i- Zarandí).</w:t>
      </w:r>
      <w:r w:rsidRPr="00B81642">
        <w:rPr>
          <w:i/>
          <w:iCs/>
          <w:lang w:val="pl-PL"/>
        </w:rPr>
        <w:t xml:space="preserve"> </w:t>
      </w:r>
      <w:r w:rsidRPr="00B81642">
        <w:rPr>
          <w:i/>
          <w:iCs/>
        </w:rPr>
        <w:t>The Dawn-Breakers: Nabíl’s Narrative of the Early Days of the Bahá’í Revelation</w:t>
      </w:r>
      <w:r>
        <w:rPr>
          <w:iCs/>
        </w:rPr>
        <w:t>,</w:t>
      </w:r>
      <w:r w:rsidRPr="00B81642">
        <w:rPr>
          <w:i/>
          <w:iCs/>
        </w:rPr>
        <w:t xml:space="preserve"> </w:t>
      </w:r>
      <w:r>
        <w:t>trans. and ed. Shoghi Effendi (</w:t>
      </w:r>
      <w:r w:rsidRPr="00B81642">
        <w:t>Wilmette, Ill.: Bah</w:t>
      </w:r>
      <w:r>
        <w:t>á’í Publishing Committee, 1932), 298.</w:t>
      </w:r>
    </w:p>
  </w:footnote>
  <w:footnote w:id="21">
    <w:p w14:paraId="4FF697DB" w14:textId="77777777" w:rsidR="008E12B1" w:rsidRDefault="008E12B1">
      <w:pPr>
        <w:pStyle w:val="FootnoteText"/>
      </w:pPr>
      <w:r>
        <w:rPr>
          <w:rStyle w:val="FootnoteReference"/>
        </w:rPr>
        <w:footnoteRef/>
      </w:r>
      <w:r>
        <w:t xml:space="preserve">Amanat, </w:t>
      </w:r>
      <w:r>
        <w:rPr>
          <w:i/>
        </w:rPr>
        <w:t>Re</w:t>
      </w:r>
      <w:r w:rsidRPr="00917A09">
        <w:rPr>
          <w:i/>
        </w:rPr>
        <w:t>surrection and Renewal</w:t>
      </w:r>
      <w:r>
        <w:t>, 310-11.  Abbas Amanat, personal communication with the author.</w:t>
      </w:r>
    </w:p>
  </w:footnote>
  <w:footnote w:id="22">
    <w:p w14:paraId="422C892C" w14:textId="77777777" w:rsidR="008E12B1" w:rsidRDefault="008E12B1">
      <w:pPr>
        <w:pStyle w:val="FootnoteText"/>
      </w:pPr>
      <w:r>
        <w:rPr>
          <w:rStyle w:val="FootnoteReference"/>
        </w:rPr>
        <w:footnoteRef/>
      </w:r>
      <w:r>
        <w:t xml:space="preserve"> Nabil, </w:t>
      </w:r>
      <w:r>
        <w:rPr>
          <w:i/>
        </w:rPr>
        <w:t>The Dawn-Breakers</w:t>
      </w:r>
      <w:r>
        <w:t>, 298.</w:t>
      </w:r>
    </w:p>
  </w:footnote>
  <w:footnote w:id="23">
    <w:p w14:paraId="419723F1" w14:textId="77777777" w:rsidR="008E12B1" w:rsidRPr="003A71B8" w:rsidRDefault="008E12B1">
      <w:pPr>
        <w:pStyle w:val="FootnoteText"/>
      </w:pPr>
      <w:r>
        <w:rPr>
          <w:rStyle w:val="FootnoteReference"/>
        </w:rPr>
        <w:footnoteRef/>
      </w:r>
      <w:r>
        <w:t xml:space="preserve"> Cf. Anthony A. Lee, “Translating Rumi,” in Amin Banani and Anthony A. Lee, trans., </w:t>
      </w:r>
      <w:r>
        <w:rPr>
          <w:i/>
        </w:rPr>
        <w:t>Rumi: 53 Secrets from the Tavern of Love</w:t>
      </w:r>
      <w:r>
        <w:t xml:space="preserve"> (Ashland, OR: White Cloud Press, 2014), xii-xv.  </w:t>
      </w:r>
    </w:p>
  </w:footnote>
  <w:footnote w:id="24">
    <w:p w14:paraId="5E4AAEEA" w14:textId="77777777" w:rsidR="008E12B1" w:rsidRDefault="008E12B1">
      <w:pPr>
        <w:pStyle w:val="FootnoteText"/>
      </w:pPr>
      <w:r>
        <w:rPr>
          <w:rStyle w:val="FootnoteReference"/>
        </w:rPr>
        <w:footnoteRef/>
      </w:r>
      <w:r>
        <w:t xml:space="preserve"> See, for example, “Morning Breezes” in Banani, </w:t>
      </w:r>
      <w:r>
        <w:rPr>
          <w:i/>
        </w:rPr>
        <w:t>Tahirih: A Portrait in Poetry</w:t>
      </w:r>
      <w:r>
        <w:t xml:space="preserve">, 61.  </w:t>
      </w:r>
    </w:p>
  </w:footnote>
  <w:footnote w:id="25">
    <w:p w14:paraId="72252318" w14:textId="77777777" w:rsidR="008E12B1" w:rsidRDefault="008E12B1">
      <w:pPr>
        <w:pStyle w:val="FootnoteText"/>
      </w:pPr>
      <w:r>
        <w:rPr>
          <w:rStyle w:val="FootnoteReference"/>
        </w:rPr>
        <w:footnoteRef/>
      </w:r>
      <w:r>
        <w:t xml:space="preserve"> Banani, </w:t>
      </w:r>
      <w:r>
        <w:rPr>
          <w:i/>
        </w:rPr>
        <w:t>Tahirih: A Portrait in Poetry</w:t>
      </w:r>
      <w:r>
        <w:t>, 92-93.</w:t>
      </w:r>
    </w:p>
  </w:footnote>
  <w:footnote w:id="26">
    <w:p w14:paraId="15C032A1" w14:textId="77777777" w:rsidR="008E12B1" w:rsidRDefault="008E12B1">
      <w:pPr>
        <w:pStyle w:val="FootnoteText"/>
      </w:pPr>
      <w:r>
        <w:rPr>
          <w:rStyle w:val="FootnoteReference"/>
        </w:rPr>
        <w:footnoteRef/>
      </w:r>
      <w:r>
        <w:t xml:space="preserve"> Ibid., 105.</w:t>
      </w:r>
    </w:p>
  </w:footnote>
  <w:footnote w:id="27">
    <w:p w14:paraId="0962F4FA" w14:textId="77777777" w:rsidR="008E12B1" w:rsidRDefault="008E12B1">
      <w:pPr>
        <w:pStyle w:val="FootnoteText"/>
      </w:pPr>
      <w:r>
        <w:rPr>
          <w:rStyle w:val="FootnoteReference"/>
        </w:rPr>
        <w:footnoteRef/>
      </w:r>
      <w:r>
        <w:t xml:space="preserve"> Baha’u’llah, The Hidden Words, Persian, No. 19.</w:t>
      </w:r>
    </w:p>
  </w:footnote>
  <w:footnote w:id="28">
    <w:p w14:paraId="345CCDEC" w14:textId="77777777" w:rsidR="008E12B1" w:rsidRPr="00BB2641" w:rsidRDefault="008E12B1">
      <w:pPr>
        <w:pStyle w:val="FootnoteText"/>
      </w:pPr>
      <w:r>
        <w:rPr>
          <w:rStyle w:val="FootnoteReference"/>
        </w:rPr>
        <w:footnoteRef/>
      </w:r>
      <w:r>
        <w:t xml:space="preserve"> Banani, </w:t>
      </w:r>
      <w:r>
        <w:rPr>
          <w:i/>
        </w:rPr>
        <w:t>Tahirih: A Portrait in Poetry</w:t>
      </w:r>
      <w:r>
        <w:t xml:space="preserve">, 58.  </w:t>
      </w:r>
    </w:p>
  </w:footnote>
  <w:footnote w:id="29">
    <w:p w14:paraId="6754ABED" w14:textId="77777777" w:rsidR="008E12B1" w:rsidRDefault="008E12B1">
      <w:pPr>
        <w:pStyle w:val="FootnoteText"/>
      </w:pPr>
      <w:r>
        <w:rPr>
          <w:rStyle w:val="FootnoteReference"/>
        </w:rPr>
        <w:footnoteRef/>
      </w:r>
      <w:r>
        <w:t xml:space="preserve"> Ibid., 67.  </w:t>
      </w:r>
    </w:p>
  </w:footnote>
  <w:footnote w:id="30">
    <w:p w14:paraId="36549118" w14:textId="77777777" w:rsidR="008E12B1" w:rsidRDefault="008E12B1">
      <w:pPr>
        <w:pStyle w:val="FootnoteText"/>
      </w:pPr>
      <w:r>
        <w:rPr>
          <w:rStyle w:val="FootnoteReference"/>
        </w:rPr>
        <w:footnoteRef/>
      </w:r>
      <w:r>
        <w:t xml:space="preserve"> Ibid., 103.</w:t>
      </w:r>
    </w:p>
  </w:footnote>
  <w:footnote w:id="31">
    <w:p w14:paraId="654F1212" w14:textId="77777777" w:rsidR="008E12B1" w:rsidRPr="00956399" w:rsidRDefault="008E12B1">
      <w:pPr>
        <w:pStyle w:val="FootnoteText"/>
      </w:pPr>
      <w:r>
        <w:rPr>
          <w:rStyle w:val="FootnoteReference"/>
        </w:rPr>
        <w:footnoteRef/>
      </w:r>
      <w:r>
        <w:t xml:space="preserve"> Baha’u’llah, “</w:t>
      </w:r>
      <w:proofErr w:type="spellStart"/>
      <w:r w:rsidRPr="00956399">
        <w:t>Mathnaviyí</w:t>
      </w:r>
      <w:proofErr w:type="spellEnd"/>
      <w:r w:rsidRPr="00956399">
        <w:t>-i Mubárak</w:t>
      </w:r>
      <w:r>
        <w:t xml:space="preserve">,” trans. Frank Lewis, </w:t>
      </w:r>
      <w:r>
        <w:rPr>
          <w:i/>
        </w:rPr>
        <w:t>Baha’i Studies Review</w:t>
      </w:r>
      <w:r>
        <w:t xml:space="preserve"> 9 (1999), v. 147-55. </w:t>
      </w:r>
      <w:r w:rsidRPr="00BF3386">
        <w:t>http://bahai-library.c</w:t>
      </w:r>
      <w:r>
        <w:t xml:space="preserve">om/lewis_mathnavi_mubarak. </w:t>
      </w:r>
    </w:p>
  </w:footnote>
  <w:footnote w:id="32">
    <w:p w14:paraId="257519E7" w14:textId="77777777" w:rsidR="008E12B1" w:rsidRPr="00E420BB" w:rsidRDefault="008E12B1">
      <w:pPr>
        <w:pStyle w:val="FootnoteText"/>
      </w:pPr>
      <w:r>
        <w:rPr>
          <w:rStyle w:val="FootnoteReference"/>
        </w:rPr>
        <w:footnoteRef/>
      </w:r>
      <w:r>
        <w:t xml:space="preserve"> “Just Let the Wind . . .” in Banani, </w:t>
      </w:r>
      <w:r>
        <w:rPr>
          <w:i/>
        </w:rPr>
        <w:t xml:space="preserve">Tahirih: A Portrait in Poetry, </w:t>
      </w:r>
      <w:r>
        <w:t>49.</w:t>
      </w:r>
    </w:p>
  </w:footnote>
  <w:footnote w:id="33">
    <w:p w14:paraId="186F72D6" w14:textId="77777777" w:rsidR="008E12B1" w:rsidRPr="00E420BB" w:rsidRDefault="008E12B1">
      <w:pPr>
        <w:pStyle w:val="FootnoteText"/>
      </w:pPr>
      <w:r>
        <w:rPr>
          <w:rStyle w:val="FootnoteReference"/>
        </w:rPr>
        <w:footnoteRef/>
      </w:r>
      <w:r>
        <w:t xml:space="preserve"> “From Those Locks” in Banani, </w:t>
      </w:r>
      <w:r>
        <w:rPr>
          <w:i/>
        </w:rPr>
        <w:t xml:space="preserve">Tahirih: A Portrait in Poetry, </w:t>
      </w:r>
      <w:r>
        <w:t>104.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05D7"/>
    <w:rsid w:val="000115AE"/>
    <w:rsid w:val="000141F6"/>
    <w:rsid w:val="00020E39"/>
    <w:rsid w:val="00035765"/>
    <w:rsid w:val="00057028"/>
    <w:rsid w:val="00076FCA"/>
    <w:rsid w:val="000C02A2"/>
    <w:rsid w:val="000C02F9"/>
    <w:rsid w:val="000C2548"/>
    <w:rsid w:val="000D4887"/>
    <w:rsid w:val="000E56E3"/>
    <w:rsid w:val="000E6B60"/>
    <w:rsid w:val="000F7284"/>
    <w:rsid w:val="00106D62"/>
    <w:rsid w:val="001108EA"/>
    <w:rsid w:val="00172EC9"/>
    <w:rsid w:val="001C2DF9"/>
    <w:rsid w:val="001F0ACD"/>
    <w:rsid w:val="00230A07"/>
    <w:rsid w:val="00236523"/>
    <w:rsid w:val="00250D0D"/>
    <w:rsid w:val="002608C2"/>
    <w:rsid w:val="00283655"/>
    <w:rsid w:val="0029093E"/>
    <w:rsid w:val="002917E1"/>
    <w:rsid w:val="002C5609"/>
    <w:rsid w:val="002C584E"/>
    <w:rsid w:val="00320C76"/>
    <w:rsid w:val="00394991"/>
    <w:rsid w:val="003A10B7"/>
    <w:rsid w:val="003A71B8"/>
    <w:rsid w:val="003C6E2A"/>
    <w:rsid w:val="003D469D"/>
    <w:rsid w:val="003E3A99"/>
    <w:rsid w:val="003E6F32"/>
    <w:rsid w:val="003F0DC0"/>
    <w:rsid w:val="003F283B"/>
    <w:rsid w:val="004442D9"/>
    <w:rsid w:val="00455757"/>
    <w:rsid w:val="00493AF4"/>
    <w:rsid w:val="004A2236"/>
    <w:rsid w:val="004B1D1A"/>
    <w:rsid w:val="004E5976"/>
    <w:rsid w:val="00502B90"/>
    <w:rsid w:val="00505E40"/>
    <w:rsid w:val="0051033F"/>
    <w:rsid w:val="0051317A"/>
    <w:rsid w:val="005466FE"/>
    <w:rsid w:val="00553F2B"/>
    <w:rsid w:val="0058587A"/>
    <w:rsid w:val="00596A0B"/>
    <w:rsid w:val="0059797A"/>
    <w:rsid w:val="005A0D99"/>
    <w:rsid w:val="005A1B72"/>
    <w:rsid w:val="005B0894"/>
    <w:rsid w:val="005E588A"/>
    <w:rsid w:val="005F0ADE"/>
    <w:rsid w:val="005F2C57"/>
    <w:rsid w:val="00624187"/>
    <w:rsid w:val="00636DAD"/>
    <w:rsid w:val="00650D7B"/>
    <w:rsid w:val="006B073A"/>
    <w:rsid w:val="006C0D9F"/>
    <w:rsid w:val="00726F82"/>
    <w:rsid w:val="007314F1"/>
    <w:rsid w:val="007553D4"/>
    <w:rsid w:val="00766D59"/>
    <w:rsid w:val="007952D5"/>
    <w:rsid w:val="007B48AC"/>
    <w:rsid w:val="007E1F87"/>
    <w:rsid w:val="00803831"/>
    <w:rsid w:val="008324CF"/>
    <w:rsid w:val="00840034"/>
    <w:rsid w:val="008941D7"/>
    <w:rsid w:val="008B684A"/>
    <w:rsid w:val="008C31DA"/>
    <w:rsid w:val="008C54F4"/>
    <w:rsid w:val="008D5AC3"/>
    <w:rsid w:val="008D60B6"/>
    <w:rsid w:val="008D632A"/>
    <w:rsid w:val="008E12B1"/>
    <w:rsid w:val="008E71ED"/>
    <w:rsid w:val="00904F99"/>
    <w:rsid w:val="00917A09"/>
    <w:rsid w:val="009219B1"/>
    <w:rsid w:val="00934345"/>
    <w:rsid w:val="009459ED"/>
    <w:rsid w:val="00956399"/>
    <w:rsid w:val="009621CF"/>
    <w:rsid w:val="0099699B"/>
    <w:rsid w:val="009A6120"/>
    <w:rsid w:val="009A6B79"/>
    <w:rsid w:val="009B41C0"/>
    <w:rsid w:val="009B729F"/>
    <w:rsid w:val="00A107E1"/>
    <w:rsid w:val="00A367D5"/>
    <w:rsid w:val="00A4589F"/>
    <w:rsid w:val="00A87736"/>
    <w:rsid w:val="00A96227"/>
    <w:rsid w:val="00AA3559"/>
    <w:rsid w:val="00AC793A"/>
    <w:rsid w:val="00B036CC"/>
    <w:rsid w:val="00B36BBB"/>
    <w:rsid w:val="00B53CAD"/>
    <w:rsid w:val="00B7292E"/>
    <w:rsid w:val="00B81642"/>
    <w:rsid w:val="00B91FF8"/>
    <w:rsid w:val="00BB0337"/>
    <w:rsid w:val="00BB2641"/>
    <w:rsid w:val="00BB3EFD"/>
    <w:rsid w:val="00BB642D"/>
    <w:rsid w:val="00BC1729"/>
    <w:rsid w:val="00BE4CAE"/>
    <w:rsid w:val="00BE6AAD"/>
    <w:rsid w:val="00BF285D"/>
    <w:rsid w:val="00BF3386"/>
    <w:rsid w:val="00C01C00"/>
    <w:rsid w:val="00C2321E"/>
    <w:rsid w:val="00C23FCF"/>
    <w:rsid w:val="00C3301C"/>
    <w:rsid w:val="00C43090"/>
    <w:rsid w:val="00C4331F"/>
    <w:rsid w:val="00C4417E"/>
    <w:rsid w:val="00C56B51"/>
    <w:rsid w:val="00C720A0"/>
    <w:rsid w:val="00C91460"/>
    <w:rsid w:val="00C91D38"/>
    <w:rsid w:val="00CA054F"/>
    <w:rsid w:val="00CA4D11"/>
    <w:rsid w:val="00CC1C95"/>
    <w:rsid w:val="00CE05D7"/>
    <w:rsid w:val="00CF2FB6"/>
    <w:rsid w:val="00D3752C"/>
    <w:rsid w:val="00D40382"/>
    <w:rsid w:val="00D52BB0"/>
    <w:rsid w:val="00D7277C"/>
    <w:rsid w:val="00D9780B"/>
    <w:rsid w:val="00DC27EF"/>
    <w:rsid w:val="00DF3F9D"/>
    <w:rsid w:val="00E077FA"/>
    <w:rsid w:val="00E420BB"/>
    <w:rsid w:val="00E84E38"/>
    <w:rsid w:val="00EA6450"/>
    <w:rsid w:val="00ED31A7"/>
    <w:rsid w:val="00EE06DF"/>
    <w:rsid w:val="00EF2F24"/>
    <w:rsid w:val="00F17854"/>
    <w:rsid w:val="00F24290"/>
    <w:rsid w:val="00F272F6"/>
    <w:rsid w:val="00F33585"/>
    <w:rsid w:val="00F4152A"/>
    <w:rsid w:val="00F5614F"/>
    <w:rsid w:val="00F93996"/>
    <w:rsid w:val="00FD2154"/>
    <w:rsid w:val="00FD66B7"/>
    <w:rsid w:val="00FD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14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right="43"/>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96"/>
  </w:style>
  <w:style w:type="paragraph" w:styleId="Heading2">
    <w:name w:val="heading 2"/>
    <w:basedOn w:val="Normal"/>
    <w:next w:val="Normal"/>
    <w:link w:val="Heading2Char"/>
    <w:qFormat/>
    <w:rsid w:val="001C2DF9"/>
    <w:pPr>
      <w:keepNext/>
      <w:ind w:right="0"/>
      <w:jc w:val="center"/>
      <w:outlineLvl w:val="1"/>
    </w:pPr>
    <w:rPr>
      <w:rFonts w:eastAsia="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24CF"/>
    <w:rPr>
      <w:sz w:val="20"/>
      <w:szCs w:val="20"/>
    </w:rPr>
  </w:style>
  <w:style w:type="character" w:customStyle="1" w:styleId="FootnoteTextChar">
    <w:name w:val="Footnote Text Char"/>
    <w:basedOn w:val="DefaultParagraphFont"/>
    <w:link w:val="FootnoteText"/>
    <w:uiPriority w:val="99"/>
    <w:rsid w:val="008324CF"/>
    <w:rPr>
      <w:sz w:val="20"/>
      <w:szCs w:val="20"/>
    </w:rPr>
  </w:style>
  <w:style w:type="character" w:styleId="FootnoteReference">
    <w:name w:val="footnote reference"/>
    <w:basedOn w:val="DefaultParagraphFont"/>
    <w:uiPriority w:val="99"/>
    <w:semiHidden/>
    <w:unhideWhenUsed/>
    <w:rsid w:val="008324CF"/>
    <w:rPr>
      <w:vertAlign w:val="superscript"/>
    </w:rPr>
  </w:style>
  <w:style w:type="paragraph" w:styleId="Header">
    <w:name w:val="header"/>
    <w:basedOn w:val="Normal"/>
    <w:link w:val="HeaderChar"/>
    <w:uiPriority w:val="99"/>
    <w:unhideWhenUsed/>
    <w:rsid w:val="000C02F9"/>
    <w:pPr>
      <w:tabs>
        <w:tab w:val="center" w:pos="4680"/>
        <w:tab w:val="right" w:pos="9360"/>
      </w:tabs>
    </w:pPr>
  </w:style>
  <w:style w:type="character" w:customStyle="1" w:styleId="HeaderChar">
    <w:name w:val="Header Char"/>
    <w:basedOn w:val="DefaultParagraphFont"/>
    <w:link w:val="Header"/>
    <w:uiPriority w:val="99"/>
    <w:rsid w:val="000C02F9"/>
  </w:style>
  <w:style w:type="paragraph" w:styleId="Footer">
    <w:name w:val="footer"/>
    <w:basedOn w:val="Normal"/>
    <w:link w:val="FooterChar"/>
    <w:uiPriority w:val="99"/>
    <w:unhideWhenUsed/>
    <w:rsid w:val="000C02F9"/>
    <w:pPr>
      <w:tabs>
        <w:tab w:val="center" w:pos="4680"/>
        <w:tab w:val="right" w:pos="9360"/>
      </w:tabs>
    </w:pPr>
  </w:style>
  <w:style w:type="character" w:customStyle="1" w:styleId="FooterChar">
    <w:name w:val="Footer Char"/>
    <w:basedOn w:val="DefaultParagraphFont"/>
    <w:link w:val="Footer"/>
    <w:uiPriority w:val="99"/>
    <w:rsid w:val="000C02F9"/>
  </w:style>
  <w:style w:type="paragraph" w:styleId="BodyTextIndent2">
    <w:name w:val="Body Text Indent 2"/>
    <w:basedOn w:val="Normal"/>
    <w:link w:val="BodyTextIndent2Char"/>
    <w:semiHidden/>
    <w:rsid w:val="001C2DF9"/>
    <w:pPr>
      <w:ind w:left="1440" w:right="0"/>
    </w:pPr>
    <w:rPr>
      <w:rFonts w:eastAsia="Times New Roman"/>
      <w:szCs w:val="20"/>
    </w:rPr>
  </w:style>
  <w:style w:type="character" w:customStyle="1" w:styleId="BodyTextIndent2Char">
    <w:name w:val="Body Text Indent 2 Char"/>
    <w:basedOn w:val="DefaultParagraphFont"/>
    <w:link w:val="BodyTextIndent2"/>
    <w:semiHidden/>
    <w:rsid w:val="001C2DF9"/>
    <w:rPr>
      <w:rFonts w:eastAsia="Times New Roman"/>
      <w:szCs w:val="20"/>
    </w:rPr>
  </w:style>
  <w:style w:type="character" w:customStyle="1" w:styleId="Heading2Char">
    <w:name w:val="Heading 2 Char"/>
    <w:basedOn w:val="DefaultParagraphFont"/>
    <w:link w:val="Heading2"/>
    <w:rsid w:val="001C2DF9"/>
    <w:rPr>
      <w:rFonts w:eastAsia="Times New Roman"/>
      <w:i/>
      <w:iCs/>
      <w:szCs w:val="20"/>
    </w:rPr>
  </w:style>
  <w:style w:type="paragraph" w:styleId="BodyTextIndent">
    <w:name w:val="Body Text Indent"/>
    <w:basedOn w:val="Normal"/>
    <w:link w:val="BodyTextIndentChar"/>
    <w:uiPriority w:val="99"/>
    <w:semiHidden/>
    <w:unhideWhenUsed/>
    <w:rsid w:val="00624187"/>
    <w:pPr>
      <w:spacing w:after="120"/>
      <w:ind w:left="360"/>
    </w:pPr>
  </w:style>
  <w:style w:type="character" w:customStyle="1" w:styleId="BodyTextIndentChar">
    <w:name w:val="Body Text Indent Char"/>
    <w:basedOn w:val="DefaultParagraphFont"/>
    <w:link w:val="BodyTextIndent"/>
    <w:uiPriority w:val="99"/>
    <w:semiHidden/>
    <w:rsid w:val="00624187"/>
  </w:style>
  <w:style w:type="character" w:styleId="Hyperlink">
    <w:name w:val="Hyperlink"/>
    <w:basedOn w:val="DefaultParagraphFont"/>
    <w:uiPriority w:val="99"/>
    <w:unhideWhenUsed/>
    <w:rsid w:val="00C23FCF"/>
    <w:rPr>
      <w:color w:val="0000FF" w:themeColor="hyperlink"/>
      <w:u w:val="single"/>
    </w:rPr>
  </w:style>
  <w:style w:type="character" w:styleId="FollowedHyperlink">
    <w:name w:val="FollowedHyperlink"/>
    <w:basedOn w:val="DefaultParagraphFont"/>
    <w:uiPriority w:val="99"/>
    <w:semiHidden/>
    <w:unhideWhenUsed/>
    <w:rsid w:val="008B684A"/>
    <w:rPr>
      <w:color w:val="800080" w:themeColor="followedHyperlink"/>
      <w:u w:val="single"/>
    </w:rPr>
  </w:style>
  <w:style w:type="paragraph" w:styleId="BalloonText">
    <w:name w:val="Balloon Text"/>
    <w:basedOn w:val="Normal"/>
    <w:link w:val="BalloonTextChar"/>
    <w:uiPriority w:val="99"/>
    <w:semiHidden/>
    <w:unhideWhenUsed/>
    <w:rsid w:val="00FD6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6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85236">
      <w:bodyDiv w:val="1"/>
      <w:marLeft w:val="0"/>
      <w:marRight w:val="0"/>
      <w:marTop w:val="0"/>
      <w:marBottom w:val="0"/>
      <w:divBdr>
        <w:top w:val="none" w:sz="0" w:space="0" w:color="auto"/>
        <w:left w:val="none" w:sz="0" w:space="0" w:color="auto"/>
        <w:bottom w:val="none" w:sz="0" w:space="0" w:color="auto"/>
        <w:right w:val="none" w:sz="0" w:space="0" w:color="auto"/>
      </w:divBdr>
      <w:divsChild>
        <w:div w:id="1016738584">
          <w:marLeft w:val="0"/>
          <w:marRight w:val="0"/>
          <w:marTop w:val="0"/>
          <w:marBottom w:val="0"/>
          <w:divBdr>
            <w:top w:val="none" w:sz="0" w:space="0" w:color="auto"/>
            <w:left w:val="none" w:sz="0" w:space="0" w:color="auto"/>
            <w:bottom w:val="none" w:sz="0" w:space="0" w:color="auto"/>
            <w:right w:val="none" w:sz="0" w:space="0" w:color="auto"/>
          </w:divBdr>
        </w:div>
        <w:div w:id="634800723">
          <w:marLeft w:val="0"/>
          <w:marRight w:val="0"/>
          <w:marTop w:val="150"/>
          <w:marBottom w:val="150"/>
          <w:divBdr>
            <w:top w:val="none" w:sz="0" w:space="0" w:color="auto"/>
            <w:left w:val="none" w:sz="0" w:space="0" w:color="auto"/>
            <w:bottom w:val="none" w:sz="0" w:space="0" w:color="auto"/>
            <w:right w:val="none" w:sz="0" w:space="0" w:color="auto"/>
          </w:divBdr>
        </w:div>
        <w:div w:id="1811634252">
          <w:marLeft w:val="0"/>
          <w:marRight w:val="0"/>
          <w:marTop w:val="150"/>
          <w:marBottom w:val="150"/>
          <w:divBdr>
            <w:top w:val="none" w:sz="0" w:space="0" w:color="auto"/>
            <w:left w:val="none" w:sz="0" w:space="0" w:color="auto"/>
            <w:bottom w:val="none" w:sz="0" w:space="0" w:color="auto"/>
            <w:right w:val="none" w:sz="0" w:space="0" w:color="auto"/>
          </w:divBdr>
        </w:div>
        <w:div w:id="114955305">
          <w:marLeft w:val="0"/>
          <w:marRight w:val="0"/>
          <w:marTop w:val="0"/>
          <w:marBottom w:val="0"/>
          <w:divBdr>
            <w:top w:val="none" w:sz="0" w:space="0" w:color="auto"/>
            <w:left w:val="none" w:sz="0" w:space="0" w:color="auto"/>
            <w:bottom w:val="none" w:sz="0" w:space="0" w:color="auto"/>
            <w:right w:val="none" w:sz="0" w:space="0" w:color="auto"/>
          </w:divBdr>
        </w:div>
        <w:div w:id="18825991">
          <w:marLeft w:val="0"/>
          <w:marRight w:val="0"/>
          <w:marTop w:val="0"/>
          <w:marBottom w:val="0"/>
          <w:divBdr>
            <w:top w:val="none" w:sz="0" w:space="0" w:color="auto"/>
            <w:left w:val="none" w:sz="0" w:space="0" w:color="auto"/>
            <w:bottom w:val="none" w:sz="0" w:space="0" w:color="auto"/>
            <w:right w:val="none" w:sz="0" w:space="0" w:color="auto"/>
          </w:divBdr>
        </w:div>
        <w:div w:id="1203327386">
          <w:marLeft w:val="0"/>
          <w:marRight w:val="0"/>
          <w:marTop w:val="0"/>
          <w:marBottom w:val="0"/>
          <w:divBdr>
            <w:top w:val="none" w:sz="0" w:space="0" w:color="auto"/>
            <w:left w:val="none" w:sz="0" w:space="0" w:color="auto"/>
            <w:bottom w:val="none" w:sz="0" w:space="0" w:color="auto"/>
            <w:right w:val="none" w:sz="0" w:space="0" w:color="auto"/>
          </w:divBdr>
          <w:divsChild>
            <w:div w:id="1841116953">
              <w:marLeft w:val="0"/>
              <w:marRight w:val="0"/>
              <w:marTop w:val="0"/>
              <w:marBottom w:val="0"/>
              <w:divBdr>
                <w:top w:val="none" w:sz="0" w:space="0" w:color="auto"/>
                <w:left w:val="none" w:sz="0" w:space="0" w:color="auto"/>
                <w:bottom w:val="none" w:sz="0" w:space="0" w:color="auto"/>
                <w:right w:val="none" w:sz="0" w:space="0" w:color="auto"/>
              </w:divBdr>
            </w:div>
          </w:divsChild>
        </w:div>
        <w:div w:id="2032679085">
          <w:marLeft w:val="0"/>
          <w:marRight w:val="0"/>
          <w:marTop w:val="0"/>
          <w:marBottom w:val="0"/>
          <w:divBdr>
            <w:top w:val="none" w:sz="0" w:space="0" w:color="auto"/>
            <w:left w:val="none" w:sz="0" w:space="0" w:color="auto"/>
            <w:bottom w:val="none" w:sz="0" w:space="0" w:color="auto"/>
            <w:right w:val="none" w:sz="0" w:space="0" w:color="auto"/>
          </w:divBdr>
        </w:div>
        <w:div w:id="1393965255">
          <w:marLeft w:val="0"/>
          <w:marRight w:val="0"/>
          <w:marTop w:val="0"/>
          <w:marBottom w:val="0"/>
          <w:divBdr>
            <w:top w:val="none" w:sz="0" w:space="0" w:color="auto"/>
            <w:left w:val="none" w:sz="0" w:space="0" w:color="auto"/>
            <w:bottom w:val="none" w:sz="0" w:space="0" w:color="auto"/>
            <w:right w:val="none" w:sz="0" w:space="0" w:color="auto"/>
          </w:divBdr>
        </w:div>
        <w:div w:id="973412196">
          <w:marLeft w:val="0"/>
          <w:marRight w:val="0"/>
          <w:marTop w:val="0"/>
          <w:marBottom w:val="0"/>
          <w:divBdr>
            <w:top w:val="none" w:sz="0" w:space="0" w:color="auto"/>
            <w:left w:val="none" w:sz="0" w:space="0" w:color="auto"/>
            <w:bottom w:val="none" w:sz="0" w:space="0" w:color="auto"/>
            <w:right w:val="none" w:sz="0" w:space="0" w:color="auto"/>
          </w:divBdr>
        </w:div>
        <w:div w:id="1828865436">
          <w:marLeft w:val="0"/>
          <w:marRight w:val="0"/>
          <w:marTop w:val="0"/>
          <w:marBottom w:val="0"/>
          <w:divBdr>
            <w:top w:val="none" w:sz="0" w:space="0" w:color="auto"/>
            <w:left w:val="none" w:sz="0" w:space="0" w:color="auto"/>
            <w:bottom w:val="none" w:sz="0" w:space="0" w:color="auto"/>
            <w:right w:val="none" w:sz="0" w:space="0" w:color="auto"/>
          </w:divBdr>
        </w:div>
        <w:div w:id="219636111">
          <w:marLeft w:val="0"/>
          <w:marRight w:val="0"/>
          <w:marTop w:val="0"/>
          <w:marBottom w:val="0"/>
          <w:divBdr>
            <w:top w:val="none" w:sz="0" w:space="0" w:color="auto"/>
            <w:left w:val="none" w:sz="0" w:space="0" w:color="auto"/>
            <w:bottom w:val="none" w:sz="0" w:space="0" w:color="auto"/>
            <w:right w:val="none" w:sz="0" w:space="0" w:color="auto"/>
          </w:divBdr>
        </w:div>
        <w:div w:id="2004701280">
          <w:marLeft w:val="0"/>
          <w:marRight w:val="0"/>
          <w:marTop w:val="0"/>
          <w:marBottom w:val="0"/>
          <w:divBdr>
            <w:top w:val="none" w:sz="0" w:space="0" w:color="auto"/>
            <w:left w:val="none" w:sz="0" w:space="0" w:color="auto"/>
            <w:bottom w:val="none" w:sz="0" w:space="0" w:color="auto"/>
            <w:right w:val="none" w:sz="0" w:space="0" w:color="auto"/>
          </w:divBdr>
        </w:div>
        <w:div w:id="181357503">
          <w:marLeft w:val="0"/>
          <w:marRight w:val="0"/>
          <w:marTop w:val="150"/>
          <w:marBottom w:val="150"/>
          <w:divBdr>
            <w:top w:val="none" w:sz="0" w:space="0" w:color="auto"/>
            <w:left w:val="none" w:sz="0" w:space="0" w:color="auto"/>
            <w:bottom w:val="none" w:sz="0" w:space="0" w:color="auto"/>
            <w:right w:val="none" w:sz="0" w:space="0" w:color="auto"/>
          </w:divBdr>
        </w:div>
        <w:div w:id="2056544141">
          <w:marLeft w:val="0"/>
          <w:marRight w:val="0"/>
          <w:marTop w:val="0"/>
          <w:marBottom w:val="0"/>
          <w:divBdr>
            <w:top w:val="none" w:sz="0" w:space="0" w:color="auto"/>
            <w:left w:val="none" w:sz="0" w:space="0" w:color="auto"/>
            <w:bottom w:val="none" w:sz="0" w:space="0" w:color="auto"/>
            <w:right w:val="none" w:sz="0" w:space="0" w:color="auto"/>
          </w:divBdr>
        </w:div>
        <w:div w:id="919799762">
          <w:marLeft w:val="0"/>
          <w:marRight w:val="0"/>
          <w:marTop w:val="150"/>
          <w:marBottom w:val="150"/>
          <w:divBdr>
            <w:top w:val="none" w:sz="0" w:space="0" w:color="auto"/>
            <w:left w:val="none" w:sz="0" w:space="0" w:color="auto"/>
            <w:bottom w:val="none" w:sz="0" w:space="0" w:color="auto"/>
            <w:right w:val="none" w:sz="0" w:space="0" w:color="auto"/>
          </w:divBdr>
        </w:div>
        <w:div w:id="364794960">
          <w:marLeft w:val="0"/>
          <w:marRight w:val="0"/>
          <w:marTop w:val="0"/>
          <w:marBottom w:val="0"/>
          <w:divBdr>
            <w:top w:val="none" w:sz="0" w:space="0" w:color="auto"/>
            <w:left w:val="none" w:sz="0" w:space="0" w:color="auto"/>
            <w:bottom w:val="none" w:sz="0" w:space="0" w:color="auto"/>
            <w:right w:val="none" w:sz="0" w:space="0" w:color="auto"/>
          </w:divBdr>
        </w:div>
        <w:div w:id="390035235">
          <w:marLeft w:val="0"/>
          <w:marRight w:val="0"/>
          <w:marTop w:val="150"/>
          <w:marBottom w:val="150"/>
          <w:divBdr>
            <w:top w:val="none" w:sz="0" w:space="0" w:color="auto"/>
            <w:left w:val="none" w:sz="0" w:space="0" w:color="auto"/>
            <w:bottom w:val="none" w:sz="0" w:space="0" w:color="auto"/>
            <w:right w:val="none" w:sz="0" w:space="0" w:color="auto"/>
          </w:divBdr>
        </w:div>
        <w:div w:id="331765607">
          <w:marLeft w:val="0"/>
          <w:marRight w:val="0"/>
          <w:marTop w:val="0"/>
          <w:marBottom w:val="0"/>
          <w:divBdr>
            <w:top w:val="none" w:sz="0" w:space="0" w:color="auto"/>
            <w:left w:val="none" w:sz="0" w:space="0" w:color="auto"/>
            <w:bottom w:val="none" w:sz="0" w:space="0" w:color="auto"/>
            <w:right w:val="none" w:sz="0" w:space="0" w:color="auto"/>
          </w:divBdr>
        </w:div>
      </w:divsChild>
    </w:div>
    <w:div w:id="1196307878">
      <w:bodyDiv w:val="1"/>
      <w:marLeft w:val="0"/>
      <w:marRight w:val="0"/>
      <w:marTop w:val="0"/>
      <w:marBottom w:val="0"/>
      <w:divBdr>
        <w:top w:val="none" w:sz="0" w:space="0" w:color="auto"/>
        <w:left w:val="none" w:sz="0" w:space="0" w:color="auto"/>
        <w:bottom w:val="none" w:sz="0" w:space="0" w:color="auto"/>
        <w:right w:val="none" w:sz="0" w:space="0" w:color="auto"/>
      </w:divBdr>
      <w:divsChild>
        <w:div w:id="1167213996">
          <w:marLeft w:val="0"/>
          <w:marRight w:val="0"/>
          <w:marTop w:val="0"/>
          <w:marBottom w:val="0"/>
          <w:divBdr>
            <w:top w:val="none" w:sz="0" w:space="0" w:color="auto"/>
            <w:left w:val="none" w:sz="0" w:space="0" w:color="auto"/>
            <w:bottom w:val="none" w:sz="0" w:space="0" w:color="auto"/>
            <w:right w:val="none" w:sz="0" w:space="0" w:color="auto"/>
          </w:divBdr>
        </w:div>
        <w:div w:id="1733042517">
          <w:marLeft w:val="0"/>
          <w:marRight w:val="0"/>
          <w:marTop w:val="150"/>
          <w:marBottom w:val="150"/>
          <w:divBdr>
            <w:top w:val="none" w:sz="0" w:space="0" w:color="auto"/>
            <w:left w:val="none" w:sz="0" w:space="0" w:color="auto"/>
            <w:bottom w:val="none" w:sz="0" w:space="0" w:color="auto"/>
            <w:right w:val="none" w:sz="0" w:space="0" w:color="auto"/>
          </w:divBdr>
        </w:div>
        <w:div w:id="972251964">
          <w:marLeft w:val="0"/>
          <w:marRight w:val="0"/>
          <w:marTop w:val="150"/>
          <w:marBottom w:val="150"/>
          <w:divBdr>
            <w:top w:val="none" w:sz="0" w:space="0" w:color="auto"/>
            <w:left w:val="none" w:sz="0" w:space="0" w:color="auto"/>
            <w:bottom w:val="none" w:sz="0" w:space="0" w:color="auto"/>
            <w:right w:val="none" w:sz="0" w:space="0" w:color="auto"/>
          </w:divBdr>
        </w:div>
        <w:div w:id="569659643">
          <w:marLeft w:val="0"/>
          <w:marRight w:val="0"/>
          <w:marTop w:val="0"/>
          <w:marBottom w:val="0"/>
          <w:divBdr>
            <w:top w:val="none" w:sz="0" w:space="0" w:color="auto"/>
            <w:left w:val="none" w:sz="0" w:space="0" w:color="auto"/>
            <w:bottom w:val="none" w:sz="0" w:space="0" w:color="auto"/>
            <w:right w:val="none" w:sz="0" w:space="0" w:color="auto"/>
          </w:divBdr>
        </w:div>
        <w:div w:id="1090850990">
          <w:marLeft w:val="0"/>
          <w:marRight w:val="0"/>
          <w:marTop w:val="0"/>
          <w:marBottom w:val="0"/>
          <w:divBdr>
            <w:top w:val="none" w:sz="0" w:space="0" w:color="auto"/>
            <w:left w:val="none" w:sz="0" w:space="0" w:color="auto"/>
            <w:bottom w:val="none" w:sz="0" w:space="0" w:color="auto"/>
            <w:right w:val="none" w:sz="0" w:space="0" w:color="auto"/>
          </w:divBdr>
        </w:div>
        <w:div w:id="210003783">
          <w:marLeft w:val="0"/>
          <w:marRight w:val="0"/>
          <w:marTop w:val="0"/>
          <w:marBottom w:val="0"/>
          <w:divBdr>
            <w:top w:val="none" w:sz="0" w:space="0" w:color="auto"/>
            <w:left w:val="none" w:sz="0" w:space="0" w:color="auto"/>
            <w:bottom w:val="none" w:sz="0" w:space="0" w:color="auto"/>
            <w:right w:val="none" w:sz="0" w:space="0" w:color="auto"/>
          </w:divBdr>
          <w:divsChild>
            <w:div w:id="1577663856">
              <w:marLeft w:val="0"/>
              <w:marRight w:val="0"/>
              <w:marTop w:val="0"/>
              <w:marBottom w:val="0"/>
              <w:divBdr>
                <w:top w:val="none" w:sz="0" w:space="0" w:color="auto"/>
                <w:left w:val="none" w:sz="0" w:space="0" w:color="auto"/>
                <w:bottom w:val="none" w:sz="0" w:space="0" w:color="auto"/>
                <w:right w:val="none" w:sz="0" w:space="0" w:color="auto"/>
              </w:divBdr>
            </w:div>
          </w:divsChild>
        </w:div>
        <w:div w:id="544173877">
          <w:marLeft w:val="0"/>
          <w:marRight w:val="0"/>
          <w:marTop w:val="0"/>
          <w:marBottom w:val="0"/>
          <w:divBdr>
            <w:top w:val="none" w:sz="0" w:space="0" w:color="auto"/>
            <w:left w:val="none" w:sz="0" w:space="0" w:color="auto"/>
            <w:bottom w:val="none" w:sz="0" w:space="0" w:color="auto"/>
            <w:right w:val="none" w:sz="0" w:space="0" w:color="auto"/>
          </w:divBdr>
        </w:div>
        <w:div w:id="1577208885">
          <w:marLeft w:val="0"/>
          <w:marRight w:val="0"/>
          <w:marTop w:val="0"/>
          <w:marBottom w:val="0"/>
          <w:divBdr>
            <w:top w:val="none" w:sz="0" w:space="0" w:color="auto"/>
            <w:left w:val="none" w:sz="0" w:space="0" w:color="auto"/>
            <w:bottom w:val="none" w:sz="0" w:space="0" w:color="auto"/>
            <w:right w:val="none" w:sz="0" w:space="0" w:color="auto"/>
          </w:divBdr>
        </w:div>
        <w:div w:id="730805705">
          <w:marLeft w:val="0"/>
          <w:marRight w:val="0"/>
          <w:marTop w:val="0"/>
          <w:marBottom w:val="0"/>
          <w:divBdr>
            <w:top w:val="none" w:sz="0" w:space="0" w:color="auto"/>
            <w:left w:val="none" w:sz="0" w:space="0" w:color="auto"/>
            <w:bottom w:val="none" w:sz="0" w:space="0" w:color="auto"/>
            <w:right w:val="none" w:sz="0" w:space="0" w:color="auto"/>
          </w:divBdr>
        </w:div>
        <w:div w:id="1816028265">
          <w:marLeft w:val="0"/>
          <w:marRight w:val="0"/>
          <w:marTop w:val="0"/>
          <w:marBottom w:val="0"/>
          <w:divBdr>
            <w:top w:val="none" w:sz="0" w:space="0" w:color="auto"/>
            <w:left w:val="none" w:sz="0" w:space="0" w:color="auto"/>
            <w:bottom w:val="none" w:sz="0" w:space="0" w:color="auto"/>
            <w:right w:val="none" w:sz="0" w:space="0" w:color="auto"/>
          </w:divBdr>
        </w:div>
        <w:div w:id="1116603453">
          <w:marLeft w:val="0"/>
          <w:marRight w:val="0"/>
          <w:marTop w:val="0"/>
          <w:marBottom w:val="0"/>
          <w:divBdr>
            <w:top w:val="none" w:sz="0" w:space="0" w:color="auto"/>
            <w:left w:val="none" w:sz="0" w:space="0" w:color="auto"/>
            <w:bottom w:val="none" w:sz="0" w:space="0" w:color="auto"/>
            <w:right w:val="none" w:sz="0" w:space="0" w:color="auto"/>
          </w:divBdr>
        </w:div>
        <w:div w:id="360711716">
          <w:marLeft w:val="0"/>
          <w:marRight w:val="0"/>
          <w:marTop w:val="0"/>
          <w:marBottom w:val="0"/>
          <w:divBdr>
            <w:top w:val="none" w:sz="0" w:space="0" w:color="auto"/>
            <w:left w:val="none" w:sz="0" w:space="0" w:color="auto"/>
            <w:bottom w:val="none" w:sz="0" w:space="0" w:color="auto"/>
            <w:right w:val="none" w:sz="0" w:space="0" w:color="auto"/>
          </w:divBdr>
        </w:div>
        <w:div w:id="773207643">
          <w:marLeft w:val="0"/>
          <w:marRight w:val="0"/>
          <w:marTop w:val="150"/>
          <w:marBottom w:val="150"/>
          <w:divBdr>
            <w:top w:val="none" w:sz="0" w:space="0" w:color="auto"/>
            <w:left w:val="none" w:sz="0" w:space="0" w:color="auto"/>
            <w:bottom w:val="none" w:sz="0" w:space="0" w:color="auto"/>
            <w:right w:val="none" w:sz="0" w:space="0" w:color="auto"/>
          </w:divBdr>
        </w:div>
        <w:div w:id="1439134390">
          <w:marLeft w:val="0"/>
          <w:marRight w:val="0"/>
          <w:marTop w:val="0"/>
          <w:marBottom w:val="0"/>
          <w:divBdr>
            <w:top w:val="none" w:sz="0" w:space="0" w:color="auto"/>
            <w:left w:val="none" w:sz="0" w:space="0" w:color="auto"/>
            <w:bottom w:val="none" w:sz="0" w:space="0" w:color="auto"/>
            <w:right w:val="none" w:sz="0" w:space="0" w:color="auto"/>
          </w:divBdr>
        </w:div>
        <w:div w:id="1222519844">
          <w:marLeft w:val="0"/>
          <w:marRight w:val="0"/>
          <w:marTop w:val="150"/>
          <w:marBottom w:val="150"/>
          <w:divBdr>
            <w:top w:val="none" w:sz="0" w:space="0" w:color="auto"/>
            <w:left w:val="none" w:sz="0" w:space="0" w:color="auto"/>
            <w:bottom w:val="none" w:sz="0" w:space="0" w:color="auto"/>
            <w:right w:val="none" w:sz="0" w:space="0" w:color="auto"/>
          </w:divBdr>
        </w:div>
        <w:div w:id="1734699854">
          <w:marLeft w:val="0"/>
          <w:marRight w:val="0"/>
          <w:marTop w:val="0"/>
          <w:marBottom w:val="0"/>
          <w:divBdr>
            <w:top w:val="none" w:sz="0" w:space="0" w:color="auto"/>
            <w:left w:val="none" w:sz="0" w:space="0" w:color="auto"/>
            <w:bottom w:val="none" w:sz="0" w:space="0" w:color="auto"/>
            <w:right w:val="none" w:sz="0" w:space="0" w:color="auto"/>
          </w:divBdr>
        </w:div>
        <w:div w:id="1242833354">
          <w:marLeft w:val="0"/>
          <w:marRight w:val="0"/>
          <w:marTop w:val="150"/>
          <w:marBottom w:val="150"/>
          <w:divBdr>
            <w:top w:val="none" w:sz="0" w:space="0" w:color="auto"/>
            <w:left w:val="none" w:sz="0" w:space="0" w:color="auto"/>
            <w:bottom w:val="none" w:sz="0" w:space="0" w:color="auto"/>
            <w:right w:val="none" w:sz="0" w:space="0" w:color="auto"/>
          </w:divBdr>
        </w:div>
        <w:div w:id="111833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E0573-217F-764E-B1E0-669E4588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6612</TotalTime>
  <Pages>17</Pages>
  <Words>4321</Words>
  <Characters>24633</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Jonah Winters</cp:lastModifiedBy>
  <cp:revision>117</cp:revision>
  <cp:lastPrinted>2016-05-19T21:37:00Z</cp:lastPrinted>
  <dcterms:created xsi:type="dcterms:W3CDTF">2014-11-15T04:46:00Z</dcterms:created>
  <dcterms:modified xsi:type="dcterms:W3CDTF">2017-08-25T04:31:00Z</dcterms:modified>
</cp:coreProperties>
</file>