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65F56" w14:textId="77777777" w:rsidR="00075AC3" w:rsidRPr="0022331B" w:rsidRDefault="00075AC3" w:rsidP="00BD6331">
      <w:pPr>
        <w:pStyle w:val="Heading1"/>
        <w:spacing w:line="300" w:lineRule="auto"/>
        <w:rPr>
          <w:sz w:val="28"/>
          <w:szCs w:val="28"/>
        </w:rPr>
      </w:pPr>
      <w:r w:rsidRPr="0022331B">
        <w:rPr>
          <w:sz w:val="28"/>
          <w:szCs w:val="28"/>
        </w:rPr>
        <w:t>Ziba Khanum of Yazd:</w:t>
      </w:r>
      <w:r w:rsidR="00827300" w:rsidRPr="0022331B">
        <w:rPr>
          <w:sz w:val="28"/>
          <w:szCs w:val="28"/>
        </w:rPr>
        <w:br/>
      </w:r>
      <w:r w:rsidRPr="0022331B">
        <w:rPr>
          <w:sz w:val="28"/>
          <w:szCs w:val="28"/>
        </w:rPr>
        <w:t xml:space="preserve">An </w:t>
      </w:r>
      <w:r w:rsidR="00827300" w:rsidRPr="0022331B">
        <w:rPr>
          <w:sz w:val="28"/>
          <w:szCs w:val="28"/>
        </w:rPr>
        <w:t>e</w:t>
      </w:r>
      <w:r w:rsidRPr="0022331B">
        <w:rPr>
          <w:sz w:val="28"/>
          <w:szCs w:val="28"/>
        </w:rPr>
        <w:t xml:space="preserve">nslaved African </w:t>
      </w:r>
      <w:r w:rsidR="00827300" w:rsidRPr="0022331B">
        <w:rPr>
          <w:sz w:val="28"/>
          <w:szCs w:val="28"/>
        </w:rPr>
        <w:t>w</w:t>
      </w:r>
      <w:r w:rsidRPr="0022331B">
        <w:rPr>
          <w:sz w:val="28"/>
          <w:szCs w:val="28"/>
        </w:rPr>
        <w:t xml:space="preserve">oman in </w:t>
      </w:r>
      <w:r w:rsidR="00827300" w:rsidRPr="0022331B">
        <w:rPr>
          <w:sz w:val="28"/>
          <w:szCs w:val="28"/>
        </w:rPr>
        <w:t>n</w:t>
      </w:r>
      <w:r w:rsidRPr="0022331B">
        <w:rPr>
          <w:sz w:val="28"/>
          <w:szCs w:val="28"/>
        </w:rPr>
        <w:t>ineteenth-</w:t>
      </w:r>
      <w:r w:rsidR="00827300" w:rsidRPr="0022331B">
        <w:rPr>
          <w:sz w:val="28"/>
          <w:szCs w:val="28"/>
        </w:rPr>
        <w:t>c</w:t>
      </w:r>
      <w:r w:rsidRPr="0022331B">
        <w:rPr>
          <w:sz w:val="28"/>
          <w:szCs w:val="28"/>
        </w:rPr>
        <w:t>entury Iran</w:t>
      </w:r>
    </w:p>
    <w:p w14:paraId="13241BD2" w14:textId="77777777" w:rsidR="00075AC3" w:rsidRPr="0022331B" w:rsidRDefault="00075AC3" w:rsidP="00BD6331">
      <w:pPr>
        <w:spacing w:line="300" w:lineRule="auto"/>
        <w:rPr>
          <w:b/>
          <w:sz w:val="24"/>
          <w:szCs w:val="28"/>
        </w:rPr>
      </w:pPr>
    </w:p>
    <w:p w14:paraId="3A5B8509" w14:textId="205A8BC4" w:rsidR="00BD729C" w:rsidRPr="0022331B" w:rsidRDefault="00075AC3" w:rsidP="00BD729C">
      <w:pPr>
        <w:spacing w:after="120" w:line="300" w:lineRule="auto"/>
        <w:jc w:val="center"/>
        <w:rPr>
          <w:sz w:val="28"/>
          <w:szCs w:val="28"/>
        </w:rPr>
      </w:pPr>
      <w:r w:rsidRPr="0022331B">
        <w:rPr>
          <w:sz w:val="28"/>
          <w:szCs w:val="28"/>
        </w:rPr>
        <w:t>Anthony A. Lee, PhD</w:t>
      </w:r>
    </w:p>
    <w:p w14:paraId="26489555" w14:textId="5CFE3C42" w:rsidR="00BD729C" w:rsidRPr="0022331B" w:rsidRDefault="00BD729C" w:rsidP="00BD6331">
      <w:pPr>
        <w:spacing w:line="300" w:lineRule="auto"/>
        <w:jc w:val="center"/>
        <w:rPr>
          <w:sz w:val="28"/>
          <w:szCs w:val="28"/>
        </w:rPr>
      </w:pPr>
      <w:r w:rsidRPr="0022331B">
        <w:rPr>
          <w:sz w:val="28"/>
          <w:szCs w:val="28"/>
        </w:rPr>
        <w:t>2017</w:t>
      </w:r>
    </w:p>
    <w:p w14:paraId="12B87C53" w14:textId="77777777" w:rsidR="003F019B" w:rsidRPr="0022331B" w:rsidRDefault="003F019B" w:rsidP="00BD6331">
      <w:pPr>
        <w:spacing w:line="300" w:lineRule="auto"/>
        <w:jc w:val="center"/>
        <w:rPr>
          <w:sz w:val="24"/>
          <w:szCs w:val="24"/>
        </w:rPr>
      </w:pPr>
    </w:p>
    <w:p w14:paraId="5C252B48" w14:textId="77777777" w:rsidR="00075AC3" w:rsidRPr="0022331B" w:rsidRDefault="00075AC3" w:rsidP="00BD6331">
      <w:pPr>
        <w:pStyle w:val="Text"/>
        <w:spacing w:line="300" w:lineRule="auto"/>
        <w:rPr>
          <w:sz w:val="24"/>
          <w:szCs w:val="24"/>
        </w:rPr>
      </w:pPr>
      <w:r w:rsidRPr="0022331B">
        <w:rPr>
          <w:sz w:val="24"/>
          <w:szCs w:val="24"/>
        </w:rPr>
        <w:t>Historians have so far found little to say about Africans in Iran.</w:t>
      </w:r>
      <w:r w:rsidRPr="0022331B">
        <w:rPr>
          <w:rStyle w:val="FootnoteReference"/>
          <w:sz w:val="24"/>
          <w:szCs w:val="24"/>
        </w:rPr>
        <w:footnoteReference w:id="1"/>
      </w:r>
      <w:r w:rsidRPr="0022331B">
        <w:rPr>
          <w:sz w:val="24"/>
          <w:szCs w:val="24"/>
        </w:rPr>
        <w:t xml:space="preserve">  This is true of the history of the Indian Ocean Diaspora in general and the Indian Ocean slave trade, especially as compared to the </w:t>
      </w:r>
      <w:r w:rsidR="006816FB" w:rsidRPr="0022331B">
        <w:rPr>
          <w:sz w:val="24"/>
          <w:szCs w:val="24"/>
        </w:rPr>
        <w:t>large volume</w:t>
      </w:r>
      <w:r w:rsidRPr="0022331B">
        <w:rPr>
          <w:sz w:val="24"/>
          <w:szCs w:val="24"/>
        </w:rPr>
        <w:t xml:space="preserve"> of scholarship now available on the Atlantic slave trade.</w:t>
      </w:r>
      <w:r w:rsidRPr="0022331B">
        <w:rPr>
          <w:rStyle w:val="FootnoteReference"/>
          <w:sz w:val="24"/>
          <w:szCs w:val="24"/>
        </w:rPr>
        <w:footnoteReference w:id="2"/>
      </w:r>
      <w:r w:rsidRPr="0022331B">
        <w:rPr>
          <w:sz w:val="24"/>
          <w:szCs w:val="24"/>
        </w:rPr>
        <w:t xml:space="preserve">  There are huge gaps in our knowledge of the history of slavery in Iran in particular and of the influence of African people on Iranians and on Persian society and culture.  Uncovering this history will change our understanding of the history of Iran and the history of the African </w:t>
      </w:r>
      <w:r w:rsidR="006816FB" w:rsidRPr="0022331B">
        <w:rPr>
          <w:sz w:val="24"/>
          <w:szCs w:val="24"/>
        </w:rPr>
        <w:t>d</w:t>
      </w:r>
      <w:r w:rsidRPr="0022331B">
        <w:rPr>
          <w:sz w:val="24"/>
          <w:szCs w:val="24"/>
        </w:rPr>
        <w:t>iaspora in general.</w:t>
      </w:r>
    </w:p>
    <w:p w14:paraId="18FA41F3" w14:textId="77777777" w:rsidR="00075AC3" w:rsidRPr="0022331B" w:rsidRDefault="00075AC3" w:rsidP="00BD6331">
      <w:pPr>
        <w:pStyle w:val="Heading2"/>
        <w:spacing w:line="300" w:lineRule="auto"/>
        <w:rPr>
          <w:sz w:val="28"/>
          <w:szCs w:val="28"/>
        </w:rPr>
      </w:pPr>
      <w:r w:rsidRPr="0022331B">
        <w:rPr>
          <w:sz w:val="28"/>
          <w:szCs w:val="28"/>
        </w:rPr>
        <w:t xml:space="preserve">The </w:t>
      </w:r>
      <w:r w:rsidR="00827300" w:rsidRPr="0022331B">
        <w:rPr>
          <w:sz w:val="28"/>
          <w:szCs w:val="28"/>
        </w:rPr>
        <w:t>s</w:t>
      </w:r>
      <w:r w:rsidRPr="0022331B">
        <w:rPr>
          <w:sz w:val="28"/>
          <w:szCs w:val="28"/>
        </w:rPr>
        <w:t xml:space="preserve">cope of the </w:t>
      </w:r>
      <w:r w:rsidR="00827300" w:rsidRPr="0022331B">
        <w:rPr>
          <w:sz w:val="28"/>
          <w:szCs w:val="28"/>
        </w:rPr>
        <w:t>s</w:t>
      </w:r>
      <w:r w:rsidRPr="0022331B">
        <w:rPr>
          <w:sz w:val="28"/>
          <w:szCs w:val="28"/>
        </w:rPr>
        <w:t xml:space="preserve">lave </w:t>
      </w:r>
      <w:r w:rsidR="00827300" w:rsidRPr="0022331B">
        <w:rPr>
          <w:sz w:val="28"/>
          <w:szCs w:val="28"/>
        </w:rPr>
        <w:t>t</w:t>
      </w:r>
      <w:r w:rsidRPr="0022331B">
        <w:rPr>
          <w:sz w:val="28"/>
          <w:szCs w:val="28"/>
        </w:rPr>
        <w:t>rade</w:t>
      </w:r>
    </w:p>
    <w:p w14:paraId="53C0C41E" w14:textId="77777777" w:rsidR="00075AC3" w:rsidRPr="0022331B" w:rsidRDefault="00075AC3" w:rsidP="00BD6331">
      <w:pPr>
        <w:pStyle w:val="Text"/>
        <w:spacing w:line="300" w:lineRule="auto"/>
        <w:rPr>
          <w:sz w:val="24"/>
          <w:szCs w:val="24"/>
        </w:rPr>
      </w:pPr>
      <w:r w:rsidRPr="0022331B">
        <w:rPr>
          <w:sz w:val="24"/>
          <w:szCs w:val="24"/>
        </w:rPr>
        <w:t>Domestic slavery has existed in Iran for centuries.  By the nineteenth-century, Africans were enslaved and brought to Iran in large numbers as part of the East-African/Indian-</w:t>
      </w:r>
      <w:r w:rsidRPr="0022331B">
        <w:rPr>
          <w:sz w:val="24"/>
          <w:szCs w:val="24"/>
        </w:rPr>
        <w:lastRenderedPageBreak/>
        <w:t>Ocean trade.</w:t>
      </w:r>
      <w:r w:rsidR="006816FB" w:rsidRPr="0022331B">
        <w:rPr>
          <w:sz w:val="24"/>
          <w:szCs w:val="24"/>
        </w:rPr>
        <w:t xml:space="preserve"> </w:t>
      </w:r>
      <w:r w:rsidRPr="0022331B">
        <w:rPr>
          <w:sz w:val="24"/>
          <w:szCs w:val="24"/>
        </w:rPr>
        <w:t xml:space="preserve"> While there are no definite historical statistics on the number of slaves exported from Africa to the Persian Gulf, estimates among scholars for the Indian Ocean trade </w:t>
      </w:r>
      <w:proofErr w:type="gramStart"/>
      <w:r w:rsidRPr="0022331B">
        <w:rPr>
          <w:sz w:val="24"/>
          <w:szCs w:val="24"/>
        </w:rPr>
        <w:t>as a whole during</w:t>
      </w:r>
      <w:proofErr w:type="gramEnd"/>
      <w:r w:rsidRPr="0022331B">
        <w:rPr>
          <w:sz w:val="24"/>
          <w:szCs w:val="24"/>
        </w:rPr>
        <w:t xml:space="preserve"> the nineteenth century vary between one and two million.  Possibly two-thirds of these slaves were African women and girls, who were almost always destined for residence in wealthy Iranian households as domestic servants and concubines.</w:t>
      </w:r>
      <w:r w:rsidRPr="0022331B">
        <w:rPr>
          <w:rStyle w:val="FootnoteReference"/>
          <w:sz w:val="24"/>
          <w:szCs w:val="24"/>
        </w:rPr>
        <w:footnoteReference w:id="3"/>
      </w:r>
    </w:p>
    <w:p w14:paraId="25309F9F" w14:textId="77777777" w:rsidR="00075AC3" w:rsidRPr="0022331B" w:rsidRDefault="00075AC3" w:rsidP="00BD6331">
      <w:pPr>
        <w:pStyle w:val="Text"/>
        <w:spacing w:line="300" w:lineRule="auto"/>
        <w:rPr>
          <w:sz w:val="24"/>
          <w:szCs w:val="24"/>
        </w:rPr>
      </w:pPr>
      <w:r w:rsidRPr="0022331B">
        <w:rPr>
          <w:sz w:val="24"/>
          <w:szCs w:val="24"/>
        </w:rPr>
        <w:t>In 1868, a census conducted in Tehran revealed that 12% of the civilian population of the city was designated as African slaves and/or “household servants</w:t>
      </w:r>
      <w:r w:rsidR="006816FB" w:rsidRPr="0022331B">
        <w:rPr>
          <w:sz w:val="24"/>
          <w:szCs w:val="24"/>
        </w:rPr>
        <w:t>”</w:t>
      </w:r>
      <w:r w:rsidRPr="0022331B">
        <w:rPr>
          <w:sz w:val="24"/>
          <w:szCs w:val="24"/>
        </w:rPr>
        <w:t>.</w:t>
      </w:r>
      <w:r w:rsidRPr="0022331B">
        <w:rPr>
          <w:rStyle w:val="FootnoteReference"/>
          <w:sz w:val="24"/>
          <w:szCs w:val="24"/>
        </w:rPr>
        <w:footnoteReference w:id="4"/>
      </w:r>
      <w:r w:rsidRPr="0022331B">
        <w:rPr>
          <w:sz w:val="24"/>
          <w:szCs w:val="24"/>
        </w:rPr>
        <w:t xml:space="preserve">  This count includes only urban households, and not slaves who were used in agricultural work, or to maintain the irrigation systems.</w:t>
      </w:r>
      <w:r w:rsidRPr="0022331B">
        <w:rPr>
          <w:rStyle w:val="FootnoteReference"/>
          <w:sz w:val="24"/>
          <w:szCs w:val="24"/>
        </w:rPr>
        <w:footnoteReference w:id="5"/>
      </w:r>
      <w:r w:rsidRPr="0022331B">
        <w:rPr>
          <w:sz w:val="24"/>
          <w:szCs w:val="24"/>
        </w:rPr>
        <w:t xml:space="preserve">  Household servants and slaves were mostly women.  This 1868 census reveals the extent of domestic slavery in large cities in nineteenth-century Iran and the importance of its African population, a subject </w:t>
      </w:r>
      <w:r w:rsidR="00AC27A9" w:rsidRPr="0022331B">
        <w:rPr>
          <w:sz w:val="24"/>
          <w:szCs w:val="24"/>
        </w:rPr>
        <w:t>that</w:t>
      </w:r>
      <w:r w:rsidRPr="0022331B">
        <w:rPr>
          <w:sz w:val="24"/>
          <w:szCs w:val="24"/>
        </w:rPr>
        <w:t xml:space="preserve"> is usually ignored in Iranian histories.</w:t>
      </w:r>
      <w:r w:rsidRPr="0022331B">
        <w:rPr>
          <w:rStyle w:val="FootnoteReference"/>
          <w:sz w:val="24"/>
          <w:szCs w:val="24"/>
        </w:rPr>
        <w:footnoteReference w:id="6"/>
      </w:r>
      <w:r w:rsidRPr="0022331B">
        <w:rPr>
          <w:sz w:val="24"/>
          <w:szCs w:val="24"/>
        </w:rPr>
        <w:t xml:space="preserve">  This paper attempts to recover at least a part of the life of one enslaved woman, </w:t>
      </w:r>
      <w:proofErr w:type="spellStart"/>
      <w:r w:rsidRPr="0022331B">
        <w:rPr>
          <w:sz w:val="24"/>
          <w:szCs w:val="24"/>
        </w:rPr>
        <w:t>Ziba</w:t>
      </w:r>
      <w:proofErr w:type="spellEnd"/>
      <w:r w:rsidRPr="0022331B">
        <w:rPr>
          <w:sz w:val="24"/>
          <w:szCs w:val="24"/>
        </w:rPr>
        <w:t xml:space="preserve"> Khanum of Yazd, the mother of Ghulam-‘Ali </w:t>
      </w:r>
      <w:proofErr w:type="spellStart"/>
      <w:r w:rsidRPr="0022331B">
        <w:rPr>
          <w:sz w:val="24"/>
          <w:szCs w:val="24"/>
        </w:rPr>
        <w:t>Siyah</w:t>
      </w:r>
      <w:proofErr w:type="spellEnd"/>
      <w:r w:rsidRPr="0022331B">
        <w:rPr>
          <w:sz w:val="24"/>
          <w:szCs w:val="24"/>
        </w:rPr>
        <w:t xml:space="preserve"> </w:t>
      </w:r>
      <w:proofErr w:type="spellStart"/>
      <w:r w:rsidRPr="0022331B">
        <w:rPr>
          <w:sz w:val="24"/>
          <w:szCs w:val="24"/>
        </w:rPr>
        <w:t>Khurasani</w:t>
      </w:r>
      <w:proofErr w:type="spellEnd"/>
      <w:r w:rsidRPr="0022331B">
        <w:rPr>
          <w:sz w:val="24"/>
          <w:szCs w:val="24"/>
        </w:rPr>
        <w:t xml:space="preserve"> (1871</w:t>
      </w:r>
      <w:r w:rsidR="00AC27A9" w:rsidRPr="0022331B">
        <w:rPr>
          <w:sz w:val="24"/>
          <w:szCs w:val="24"/>
        </w:rPr>
        <w:t>–</w:t>
      </w:r>
      <w:r w:rsidRPr="0022331B">
        <w:rPr>
          <w:sz w:val="24"/>
          <w:szCs w:val="24"/>
        </w:rPr>
        <w:t>1949).</w:t>
      </w:r>
      <w:r w:rsidR="00F76449" w:rsidRPr="0022331B">
        <w:rPr>
          <w:rStyle w:val="FootnoteReference"/>
          <w:sz w:val="24"/>
          <w:szCs w:val="24"/>
        </w:rPr>
        <w:footnoteReference w:id="7"/>
      </w:r>
      <w:r w:rsidRPr="0022331B">
        <w:rPr>
          <w:sz w:val="24"/>
          <w:szCs w:val="24"/>
        </w:rPr>
        <w:t xml:space="preserve">  In previous published articles, I have been able to locate seven other African slaves who appear, usually by accident, in the Iranian historical record and to discuss their individual lives.  I am interested in writing these partial biographies first for their own sake, to </w:t>
      </w:r>
      <w:proofErr w:type="spellStart"/>
      <w:r w:rsidRPr="0022331B">
        <w:rPr>
          <w:sz w:val="24"/>
          <w:szCs w:val="24"/>
        </w:rPr>
        <w:t>honor</w:t>
      </w:r>
      <w:proofErr w:type="spellEnd"/>
      <w:r w:rsidRPr="0022331B">
        <w:rPr>
          <w:sz w:val="24"/>
          <w:szCs w:val="24"/>
        </w:rPr>
        <w:t xml:space="preserve"> and to understand (insofar as is possible) individuals in history, as a matter of human dignity.  This paper builds on this earlier research in hopes of constructing a history of African </w:t>
      </w:r>
      <w:r w:rsidRPr="0022331B">
        <w:rPr>
          <w:sz w:val="24"/>
          <w:szCs w:val="24"/>
        </w:rPr>
        <w:lastRenderedPageBreak/>
        <w:t xml:space="preserve">slavery in Iran at the level of individual biographies.  An examination of </w:t>
      </w:r>
      <w:proofErr w:type="spellStart"/>
      <w:r w:rsidRPr="0022331B">
        <w:rPr>
          <w:sz w:val="24"/>
          <w:szCs w:val="24"/>
        </w:rPr>
        <w:t>Ziba</w:t>
      </w:r>
      <w:proofErr w:type="spellEnd"/>
      <w:r w:rsidRPr="0022331B">
        <w:rPr>
          <w:sz w:val="24"/>
          <w:szCs w:val="24"/>
        </w:rPr>
        <w:t xml:space="preserve"> Khanum’s life, as well as the lives of other enslaved women in her household, can begin to fill the gaps in our knowledge of African slavery in Iran.  Ghulam-‘Ali’s dramatic career illumines issues of race, religion, and assimilation in nineteenth- and early twentieth-century Iran.</w:t>
      </w:r>
    </w:p>
    <w:p w14:paraId="55685FBE" w14:textId="77777777" w:rsidR="00075AC3" w:rsidRPr="0022331B" w:rsidRDefault="00075AC3" w:rsidP="00BD6331">
      <w:pPr>
        <w:pStyle w:val="Heading2"/>
        <w:spacing w:line="300" w:lineRule="auto"/>
        <w:rPr>
          <w:sz w:val="28"/>
          <w:szCs w:val="28"/>
        </w:rPr>
      </w:pPr>
      <w:r w:rsidRPr="0022331B">
        <w:rPr>
          <w:sz w:val="28"/>
          <w:szCs w:val="28"/>
        </w:rPr>
        <w:t xml:space="preserve">Ziba Khanum and </w:t>
      </w:r>
      <w:r w:rsidR="00AC27A9" w:rsidRPr="0022331B">
        <w:rPr>
          <w:sz w:val="28"/>
          <w:szCs w:val="28"/>
        </w:rPr>
        <w:t>h</w:t>
      </w:r>
      <w:r w:rsidRPr="0022331B">
        <w:rPr>
          <w:sz w:val="28"/>
          <w:szCs w:val="28"/>
        </w:rPr>
        <w:t xml:space="preserve">er </w:t>
      </w:r>
      <w:r w:rsidR="00AC27A9" w:rsidRPr="0022331B">
        <w:rPr>
          <w:sz w:val="28"/>
          <w:szCs w:val="28"/>
        </w:rPr>
        <w:t>s</w:t>
      </w:r>
      <w:r w:rsidRPr="0022331B">
        <w:rPr>
          <w:sz w:val="28"/>
          <w:szCs w:val="28"/>
        </w:rPr>
        <w:t>on</w:t>
      </w:r>
    </w:p>
    <w:p w14:paraId="202DD2B8" w14:textId="77777777" w:rsidR="00075AC3" w:rsidRPr="0022331B" w:rsidRDefault="00075AC3" w:rsidP="00BD6331">
      <w:pPr>
        <w:pStyle w:val="Text"/>
        <w:spacing w:line="300" w:lineRule="auto"/>
        <w:rPr>
          <w:sz w:val="24"/>
          <w:szCs w:val="24"/>
        </w:rPr>
      </w:pPr>
      <w:proofErr w:type="spellStart"/>
      <w:r w:rsidRPr="0022331B">
        <w:rPr>
          <w:sz w:val="24"/>
          <w:szCs w:val="24"/>
        </w:rPr>
        <w:t>Ziba</w:t>
      </w:r>
      <w:proofErr w:type="spellEnd"/>
      <w:r w:rsidRPr="0022331B">
        <w:rPr>
          <w:sz w:val="24"/>
          <w:szCs w:val="24"/>
        </w:rPr>
        <w:t xml:space="preserve"> Khanum (d. 1932), an African woman, lived as a slave and the concubine of her master, Haji Muhammad-‘Ali Sadiq </w:t>
      </w:r>
      <w:proofErr w:type="spellStart"/>
      <w:r w:rsidRPr="0022331B">
        <w:rPr>
          <w:sz w:val="24"/>
          <w:szCs w:val="24"/>
        </w:rPr>
        <w:t>Khurasani</w:t>
      </w:r>
      <w:proofErr w:type="spellEnd"/>
      <w:r w:rsidRPr="0022331B">
        <w:rPr>
          <w:sz w:val="24"/>
          <w:szCs w:val="24"/>
        </w:rPr>
        <w:t xml:space="preserve"> (known as </w:t>
      </w:r>
      <w:proofErr w:type="spellStart"/>
      <w:r w:rsidRPr="0022331B">
        <w:rPr>
          <w:sz w:val="24"/>
          <w:szCs w:val="24"/>
        </w:rPr>
        <w:t>Gunduli</w:t>
      </w:r>
      <w:proofErr w:type="spellEnd"/>
      <w:r w:rsidRPr="0022331B">
        <w:rPr>
          <w:sz w:val="24"/>
          <w:szCs w:val="24"/>
        </w:rPr>
        <w:t>, the fat), in the city of Yazd, in central Iran, in the second half of the nineteenth century.  She is absent in the documentary record.</w:t>
      </w:r>
      <w:r w:rsidRPr="0022331B">
        <w:rPr>
          <w:rStyle w:val="FootnoteReference"/>
          <w:sz w:val="24"/>
          <w:szCs w:val="24"/>
        </w:rPr>
        <w:footnoteReference w:id="8"/>
      </w:r>
      <w:r w:rsidRPr="0022331B">
        <w:rPr>
          <w:sz w:val="24"/>
          <w:szCs w:val="24"/>
        </w:rPr>
        <w:t xml:space="preserve">  Information about her life has been taken from multiple interviews with her descendants and other living relatives.</w:t>
      </w:r>
      <w:r w:rsidRPr="0022331B">
        <w:rPr>
          <w:rStyle w:val="FootnoteReference"/>
          <w:sz w:val="24"/>
          <w:szCs w:val="24"/>
        </w:rPr>
        <w:footnoteReference w:id="9"/>
      </w:r>
      <w:r w:rsidRPr="0022331B">
        <w:rPr>
          <w:sz w:val="24"/>
          <w:szCs w:val="24"/>
        </w:rPr>
        <w:t xml:space="preserve">  She is remembered by her great-grandchildren as their earliest ancestor.  Her descendants relate different stories of her origins as part of family lore.  Some suggest that she was purchased in Zanzibar on one of her wealthy master’s merchant voyages.  Others suggest Mombasa as her point of origin.  Others say she was acquired in Bandar Abbas, in southern Iran, on the slave market.</w:t>
      </w:r>
      <w:r w:rsidRPr="0022331B">
        <w:rPr>
          <w:rStyle w:val="FootnoteReference"/>
          <w:sz w:val="24"/>
          <w:szCs w:val="24"/>
        </w:rPr>
        <w:footnoteReference w:id="10"/>
      </w:r>
      <w:r w:rsidRPr="0022331B">
        <w:rPr>
          <w:sz w:val="24"/>
          <w:szCs w:val="24"/>
        </w:rPr>
        <w:t xml:space="preserve">  In any case, she would have been given her name </w:t>
      </w:r>
      <w:proofErr w:type="spellStart"/>
      <w:r w:rsidRPr="0022331B">
        <w:rPr>
          <w:sz w:val="24"/>
          <w:szCs w:val="24"/>
        </w:rPr>
        <w:t>Ziba</w:t>
      </w:r>
      <w:proofErr w:type="spellEnd"/>
      <w:r w:rsidRPr="0022331B">
        <w:rPr>
          <w:sz w:val="24"/>
          <w:szCs w:val="24"/>
        </w:rPr>
        <w:t xml:space="preserve"> (beautiful) by her master after purchase.  Enslaved Africans were not given (Arabic) Muslim names, but were assigned Persian names as part of the process of assimilation into Persian families.</w:t>
      </w:r>
      <w:r w:rsidRPr="0022331B">
        <w:rPr>
          <w:rStyle w:val="FootnoteReference"/>
          <w:sz w:val="24"/>
          <w:szCs w:val="24"/>
        </w:rPr>
        <w:footnoteReference w:id="11"/>
      </w:r>
      <w:r w:rsidRPr="0022331B">
        <w:rPr>
          <w:sz w:val="24"/>
          <w:szCs w:val="24"/>
        </w:rPr>
        <w:t xml:space="preserve">  The name </w:t>
      </w:r>
      <w:proofErr w:type="spellStart"/>
      <w:r w:rsidRPr="0022331B">
        <w:rPr>
          <w:sz w:val="24"/>
          <w:szCs w:val="24"/>
        </w:rPr>
        <w:t>Ziba</w:t>
      </w:r>
      <w:proofErr w:type="spellEnd"/>
      <w:r w:rsidRPr="0022331B">
        <w:rPr>
          <w:sz w:val="24"/>
          <w:szCs w:val="24"/>
        </w:rPr>
        <w:t xml:space="preserve"> suggests that Haji Muhammad</w:t>
      </w:r>
      <w:proofErr w:type="gramStart"/>
      <w:r w:rsidRPr="0022331B">
        <w:rPr>
          <w:sz w:val="24"/>
          <w:szCs w:val="24"/>
        </w:rPr>
        <w:t>-‘</w:t>
      </w:r>
      <w:proofErr w:type="gramEnd"/>
      <w:r w:rsidRPr="0022331B">
        <w:rPr>
          <w:sz w:val="24"/>
          <w:szCs w:val="24"/>
        </w:rPr>
        <w:t>Ali wanted to bring a beautiful African girl into his household.  Enslaved African women and eunuch men, in nineteenth-century Iran, were considered a sign of wealth and prestige among rich merchants and aristocrats.</w:t>
      </w:r>
      <w:r w:rsidRPr="0022331B">
        <w:rPr>
          <w:rStyle w:val="FootnoteReference"/>
          <w:sz w:val="24"/>
          <w:szCs w:val="24"/>
        </w:rPr>
        <w:footnoteReference w:id="12"/>
      </w:r>
      <w:r w:rsidRPr="0022331B">
        <w:rPr>
          <w:sz w:val="24"/>
          <w:szCs w:val="24"/>
        </w:rPr>
        <w:t xml:space="preserve">  The shah of Iran had dozens, and eventually hundreds, of enslaved African women and eunuch men as part of his harem.</w:t>
      </w:r>
      <w:r w:rsidRPr="0022331B">
        <w:rPr>
          <w:rStyle w:val="FootnoteReference"/>
          <w:sz w:val="24"/>
          <w:szCs w:val="24"/>
        </w:rPr>
        <w:footnoteReference w:id="13"/>
      </w:r>
    </w:p>
    <w:p w14:paraId="18F99664" w14:textId="77777777" w:rsidR="00075AC3" w:rsidRPr="0022331B" w:rsidRDefault="00075AC3" w:rsidP="00BD6331">
      <w:pPr>
        <w:pStyle w:val="Text"/>
        <w:spacing w:line="300" w:lineRule="auto"/>
        <w:rPr>
          <w:sz w:val="24"/>
          <w:szCs w:val="24"/>
        </w:rPr>
      </w:pPr>
      <w:proofErr w:type="spellStart"/>
      <w:r w:rsidRPr="0022331B">
        <w:rPr>
          <w:sz w:val="24"/>
          <w:szCs w:val="24"/>
        </w:rPr>
        <w:lastRenderedPageBreak/>
        <w:t>Ziba</w:t>
      </w:r>
      <w:proofErr w:type="spellEnd"/>
      <w:r w:rsidRPr="0022331B">
        <w:rPr>
          <w:sz w:val="24"/>
          <w:szCs w:val="24"/>
        </w:rPr>
        <w:t xml:space="preserve">, the family remembers, was purchased as a girl or young woman, possibly as a nurse for her master’s ailing wife.  This is also suggested by the family nickname by which she was known, </w:t>
      </w:r>
      <w:proofErr w:type="spellStart"/>
      <w:r w:rsidRPr="0022331B">
        <w:rPr>
          <w:sz w:val="24"/>
          <w:szCs w:val="24"/>
        </w:rPr>
        <w:t>Dadé</w:t>
      </w:r>
      <w:proofErr w:type="spellEnd"/>
      <w:r w:rsidRPr="0022331B">
        <w:rPr>
          <w:sz w:val="24"/>
          <w:szCs w:val="24"/>
        </w:rPr>
        <w:t xml:space="preserve"> (</w:t>
      </w:r>
      <w:proofErr w:type="spellStart"/>
      <w:r w:rsidRPr="0022331B">
        <w:rPr>
          <w:i/>
          <w:sz w:val="24"/>
          <w:szCs w:val="24"/>
        </w:rPr>
        <w:t>dadih</w:t>
      </w:r>
      <w:proofErr w:type="spellEnd"/>
      <w:r w:rsidRPr="0022331B">
        <w:rPr>
          <w:sz w:val="24"/>
          <w:szCs w:val="24"/>
        </w:rPr>
        <w:t>, Persian:</w:t>
      </w:r>
      <w:r w:rsidR="00AC27A9" w:rsidRPr="0022331B">
        <w:rPr>
          <w:sz w:val="24"/>
          <w:szCs w:val="24"/>
        </w:rPr>
        <w:t xml:space="preserve"> </w:t>
      </w:r>
      <w:r w:rsidRPr="0022331B">
        <w:rPr>
          <w:sz w:val="24"/>
          <w:szCs w:val="24"/>
        </w:rPr>
        <w:t xml:space="preserve"> nanny or nursemaid).  She lived in the household of her master, with his wife and children—two daughters and a son, Muhammad-Ismail </w:t>
      </w:r>
      <w:proofErr w:type="spellStart"/>
      <w:r w:rsidR="007F2449" w:rsidRPr="0022331B">
        <w:rPr>
          <w:sz w:val="24"/>
          <w:szCs w:val="24"/>
        </w:rPr>
        <w:t>K</w:t>
      </w:r>
      <w:r w:rsidRPr="0022331B">
        <w:rPr>
          <w:sz w:val="24"/>
          <w:szCs w:val="24"/>
        </w:rPr>
        <w:t>hurasani</w:t>
      </w:r>
      <w:proofErr w:type="spellEnd"/>
      <w:r w:rsidRPr="0022331B">
        <w:rPr>
          <w:sz w:val="24"/>
          <w:szCs w:val="24"/>
        </w:rPr>
        <w:t xml:space="preserve">, the half-brother of Ghulam-‘Ali.  Family lore (at least as told by her descendants) suggests that Haji Muhammad-‘Ali took her as a concubine with the permission of his wife, by some accounts because his wife was sick and could no longer serve him.  Others suggest that the master married </w:t>
      </w:r>
      <w:proofErr w:type="spellStart"/>
      <w:r w:rsidRPr="0022331B">
        <w:rPr>
          <w:sz w:val="24"/>
          <w:szCs w:val="24"/>
        </w:rPr>
        <w:t>Ziba</w:t>
      </w:r>
      <w:proofErr w:type="spellEnd"/>
      <w:r w:rsidRPr="0022331B">
        <w:rPr>
          <w:sz w:val="24"/>
          <w:szCs w:val="24"/>
        </w:rPr>
        <w:t xml:space="preserve"> after his wife’s death, which is unlikely.</w:t>
      </w:r>
    </w:p>
    <w:p w14:paraId="3A0B40FC" w14:textId="77777777" w:rsidR="00075AC3" w:rsidRPr="0022331B" w:rsidRDefault="00075AC3" w:rsidP="00BD6331">
      <w:pPr>
        <w:pStyle w:val="Text"/>
        <w:spacing w:line="300" w:lineRule="auto"/>
        <w:rPr>
          <w:sz w:val="24"/>
          <w:szCs w:val="24"/>
        </w:rPr>
      </w:pPr>
      <w:r w:rsidRPr="0022331B">
        <w:rPr>
          <w:sz w:val="24"/>
          <w:szCs w:val="24"/>
        </w:rPr>
        <w:t xml:space="preserve">These are certainly modern rationalizations for </w:t>
      </w:r>
      <w:proofErr w:type="spellStart"/>
      <w:r w:rsidRPr="0022331B">
        <w:rPr>
          <w:sz w:val="24"/>
          <w:szCs w:val="24"/>
        </w:rPr>
        <w:t>Ziba’s</w:t>
      </w:r>
      <w:proofErr w:type="spellEnd"/>
      <w:r w:rsidRPr="0022331B">
        <w:rPr>
          <w:sz w:val="24"/>
          <w:szCs w:val="24"/>
        </w:rPr>
        <w:t xml:space="preserve"> sexual relationship to Haji Muhammad</w:t>
      </w:r>
      <w:proofErr w:type="gramStart"/>
      <w:r w:rsidRPr="0022331B">
        <w:rPr>
          <w:sz w:val="24"/>
          <w:szCs w:val="24"/>
        </w:rPr>
        <w:t>-‘</w:t>
      </w:r>
      <w:proofErr w:type="gramEnd"/>
      <w:r w:rsidRPr="0022331B">
        <w:rPr>
          <w:sz w:val="24"/>
          <w:szCs w:val="24"/>
        </w:rPr>
        <w:t xml:space="preserve">Ali, a relationship </w:t>
      </w:r>
      <w:r w:rsidR="007F2449" w:rsidRPr="0022331B">
        <w:rPr>
          <w:sz w:val="24"/>
          <w:szCs w:val="24"/>
        </w:rPr>
        <w:t>that</w:t>
      </w:r>
      <w:r w:rsidRPr="0022331B">
        <w:rPr>
          <w:sz w:val="24"/>
          <w:szCs w:val="24"/>
        </w:rPr>
        <w:t xml:space="preserve"> would have required no explanation or justification at the time.  There were no barriers—either legal, religious or moral—to a master taking a slave as his concubine.  Both slavery and concubinage are recognized and regulated by Islamic law (the </w:t>
      </w:r>
      <w:proofErr w:type="spellStart"/>
      <w:proofErr w:type="gramStart"/>
      <w:r w:rsidRPr="0022331B">
        <w:rPr>
          <w:i/>
          <w:sz w:val="24"/>
          <w:szCs w:val="24"/>
        </w:rPr>
        <w:t>shari</w:t>
      </w:r>
      <w:r w:rsidR="00FE06AA" w:rsidRPr="0022331B">
        <w:rPr>
          <w:i/>
          <w:sz w:val="24"/>
          <w:szCs w:val="24"/>
        </w:rPr>
        <w:t>‘</w:t>
      </w:r>
      <w:proofErr w:type="gramEnd"/>
      <w:r w:rsidRPr="0022331B">
        <w:rPr>
          <w:i/>
          <w:sz w:val="24"/>
          <w:szCs w:val="24"/>
        </w:rPr>
        <w:t>a</w:t>
      </w:r>
      <w:proofErr w:type="spellEnd"/>
      <w:r w:rsidRPr="0022331B">
        <w:rPr>
          <w:sz w:val="24"/>
          <w:szCs w:val="24"/>
        </w:rPr>
        <w:t xml:space="preserve">).  A slave woman who bears a child by her master is afforded a change of status by this law.  She becomes an </w:t>
      </w:r>
      <w:r w:rsidRPr="0022331B">
        <w:rPr>
          <w:i/>
          <w:sz w:val="24"/>
          <w:szCs w:val="24"/>
        </w:rPr>
        <w:t>umm-</w:t>
      </w:r>
      <w:proofErr w:type="spellStart"/>
      <w:r w:rsidRPr="0022331B">
        <w:rPr>
          <w:i/>
          <w:sz w:val="24"/>
          <w:szCs w:val="24"/>
        </w:rPr>
        <w:t>walad</w:t>
      </w:r>
      <w:proofErr w:type="spellEnd"/>
      <w:r w:rsidRPr="0022331B">
        <w:rPr>
          <w:rStyle w:val="FootnoteReference"/>
          <w:sz w:val="24"/>
          <w:szCs w:val="24"/>
        </w:rPr>
        <w:footnoteReference w:id="14"/>
      </w:r>
      <w:r w:rsidRPr="0022331B">
        <w:rPr>
          <w:sz w:val="24"/>
          <w:szCs w:val="24"/>
        </w:rPr>
        <w:t xml:space="preserve"> (mother of a son) and cannot be sold.  She is freed upon the death of her master.  Her child is born free and by law will inherit his father’s name and fortune at the same rate as his children by his wife (or wives).  The sexual aspects of the relationship are considered incidental and carry no moral stigma.  It is simply assumed that a master will have sexual contact with his slaves (male or female), if he wishes.  A slave woman would, under these circumstances, even have a strong incentive to bear a child by her master, in order to move toward the </w:t>
      </w:r>
      <w:proofErr w:type="spellStart"/>
      <w:r w:rsidRPr="0022331B">
        <w:rPr>
          <w:sz w:val="24"/>
          <w:szCs w:val="24"/>
        </w:rPr>
        <w:t>center</w:t>
      </w:r>
      <w:proofErr w:type="spellEnd"/>
      <w:r w:rsidRPr="0022331B">
        <w:rPr>
          <w:sz w:val="24"/>
          <w:szCs w:val="24"/>
        </w:rPr>
        <w:t xml:space="preserve"> of her master’s household, to protect herself from sale, to free her child and herself, and to inherit part of the master’s wealth (through her offspring).  Children born to enslaved fathers are slaves and, of course, do not inherit.</w:t>
      </w:r>
    </w:p>
    <w:p w14:paraId="5CC8E866" w14:textId="77777777" w:rsidR="00075AC3" w:rsidRPr="0022331B" w:rsidRDefault="00F76449" w:rsidP="00BD6331">
      <w:pPr>
        <w:spacing w:line="300" w:lineRule="auto"/>
        <w:jc w:val="center"/>
        <w:rPr>
          <w:sz w:val="24"/>
          <w:szCs w:val="28"/>
        </w:rPr>
      </w:pPr>
      <w:r w:rsidRPr="0022331B">
        <w:rPr>
          <w:noProof/>
          <w:sz w:val="24"/>
          <w:szCs w:val="28"/>
          <w:lang w:val="en-IN" w:eastAsia="en-IN"/>
          <w14:numForm w14:val="default"/>
          <w14:numSpacing w14:val="default"/>
        </w:rPr>
        <w:lastRenderedPageBreak/>
        <w:drawing>
          <wp:inline distT="0" distB="0" distL="0" distR="0" wp14:anchorId="40E9F8E3" wp14:editId="6AFDE3A5">
            <wp:extent cx="4916978" cy="68621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ulam-‘Ali Siyah.tif"/>
                    <pic:cNvPicPr/>
                  </pic:nvPicPr>
                  <pic:blipFill>
                    <a:blip r:embed="rId7">
                      <a:extLst>
                        <a:ext uri="{28A0092B-C50C-407E-A947-70E740481C1C}">
                          <a14:useLocalDpi xmlns:a14="http://schemas.microsoft.com/office/drawing/2010/main" val="0"/>
                        </a:ext>
                      </a:extLst>
                    </a:blip>
                    <a:stretch>
                      <a:fillRect/>
                    </a:stretch>
                  </pic:blipFill>
                  <pic:spPr>
                    <a:xfrm>
                      <a:off x="0" y="0"/>
                      <a:ext cx="4916978" cy="6862156"/>
                    </a:xfrm>
                    <a:prstGeom prst="rect">
                      <a:avLst/>
                    </a:prstGeom>
                  </pic:spPr>
                </pic:pic>
              </a:graphicData>
            </a:graphic>
          </wp:inline>
        </w:drawing>
      </w:r>
    </w:p>
    <w:p w14:paraId="22887DA1" w14:textId="77777777" w:rsidR="00075AC3" w:rsidRPr="0022331B" w:rsidRDefault="00075AC3" w:rsidP="00BD6331">
      <w:pPr>
        <w:spacing w:line="300" w:lineRule="auto"/>
        <w:jc w:val="center"/>
        <w:rPr>
          <w:sz w:val="24"/>
          <w:szCs w:val="24"/>
        </w:rPr>
      </w:pPr>
      <w:r w:rsidRPr="0022331B">
        <w:rPr>
          <w:sz w:val="24"/>
          <w:szCs w:val="28"/>
        </w:rPr>
        <w:t xml:space="preserve">Ghulam-‘Ali </w:t>
      </w:r>
      <w:proofErr w:type="spellStart"/>
      <w:r w:rsidRPr="0022331B">
        <w:rPr>
          <w:sz w:val="24"/>
          <w:szCs w:val="28"/>
        </w:rPr>
        <w:t>Siyah</w:t>
      </w:r>
      <w:proofErr w:type="spellEnd"/>
      <w:r w:rsidRPr="0022331B">
        <w:rPr>
          <w:sz w:val="24"/>
          <w:szCs w:val="28"/>
        </w:rPr>
        <w:t xml:space="preserve"> (</w:t>
      </w:r>
      <w:proofErr w:type="spellStart"/>
      <w:r w:rsidRPr="0022331B">
        <w:rPr>
          <w:sz w:val="24"/>
          <w:szCs w:val="28"/>
        </w:rPr>
        <w:t>Yazdi</w:t>
      </w:r>
      <w:proofErr w:type="spellEnd"/>
      <w:r w:rsidRPr="0022331B">
        <w:rPr>
          <w:sz w:val="24"/>
          <w:szCs w:val="28"/>
        </w:rPr>
        <w:t xml:space="preserve">) </w:t>
      </w:r>
      <w:proofErr w:type="spellStart"/>
      <w:r w:rsidRPr="0022331B">
        <w:rPr>
          <w:sz w:val="24"/>
          <w:szCs w:val="28"/>
        </w:rPr>
        <w:t>Khurasani</w:t>
      </w:r>
      <w:proofErr w:type="spellEnd"/>
    </w:p>
    <w:p w14:paraId="69484488" w14:textId="77777777" w:rsidR="00075AC3" w:rsidRPr="0022331B" w:rsidRDefault="00075AC3" w:rsidP="00BD6331">
      <w:pPr>
        <w:spacing w:line="300" w:lineRule="auto"/>
        <w:jc w:val="center"/>
        <w:rPr>
          <w:sz w:val="24"/>
          <w:szCs w:val="24"/>
        </w:rPr>
      </w:pPr>
    </w:p>
    <w:p w14:paraId="1479F458" w14:textId="77777777" w:rsidR="00075AC3" w:rsidRPr="0022331B" w:rsidRDefault="00A119BC" w:rsidP="00BD6331">
      <w:pPr>
        <w:pStyle w:val="Text"/>
        <w:spacing w:line="300" w:lineRule="auto"/>
        <w:rPr>
          <w:sz w:val="24"/>
          <w:szCs w:val="24"/>
        </w:rPr>
      </w:pPr>
      <w:r w:rsidRPr="0022331B">
        <w:rPr>
          <w:sz w:val="24"/>
          <w:szCs w:val="24"/>
        </w:rPr>
        <w:t xml:space="preserve">Ghulam-‘Ali </w:t>
      </w:r>
      <w:proofErr w:type="spellStart"/>
      <w:r w:rsidRPr="0022331B">
        <w:rPr>
          <w:sz w:val="24"/>
          <w:szCs w:val="24"/>
        </w:rPr>
        <w:t>Siyah</w:t>
      </w:r>
      <w:proofErr w:type="spellEnd"/>
      <w:r w:rsidRPr="0022331B">
        <w:rPr>
          <w:sz w:val="24"/>
          <w:szCs w:val="24"/>
        </w:rPr>
        <w:t xml:space="preserve"> (</w:t>
      </w:r>
      <w:proofErr w:type="spellStart"/>
      <w:r w:rsidRPr="0022331B">
        <w:rPr>
          <w:sz w:val="24"/>
          <w:szCs w:val="24"/>
        </w:rPr>
        <w:t>Yazdi</w:t>
      </w:r>
      <w:proofErr w:type="spellEnd"/>
      <w:r w:rsidRPr="0022331B">
        <w:rPr>
          <w:sz w:val="24"/>
          <w:szCs w:val="24"/>
        </w:rPr>
        <w:t xml:space="preserve">) </w:t>
      </w:r>
      <w:proofErr w:type="spellStart"/>
      <w:r w:rsidRPr="0022331B">
        <w:rPr>
          <w:sz w:val="24"/>
          <w:szCs w:val="24"/>
        </w:rPr>
        <w:t>Khurasani</w:t>
      </w:r>
      <w:proofErr w:type="spellEnd"/>
      <w:r w:rsidR="00075AC3" w:rsidRPr="0022331B">
        <w:rPr>
          <w:sz w:val="24"/>
          <w:szCs w:val="24"/>
        </w:rPr>
        <w:t xml:space="preserve"> appears to be 12 or 14 years old, c. 1885.  His clothing indicates considerable wealth and status for the time.  (Source: </w:t>
      </w:r>
      <w:r w:rsidRPr="0022331B">
        <w:rPr>
          <w:sz w:val="24"/>
          <w:szCs w:val="24"/>
        </w:rPr>
        <w:t xml:space="preserve"> </w:t>
      </w:r>
      <w:r w:rsidR="00075AC3" w:rsidRPr="0022331B">
        <w:rPr>
          <w:sz w:val="24"/>
          <w:szCs w:val="24"/>
        </w:rPr>
        <w:t xml:space="preserve">Khurasani family archives. </w:t>
      </w:r>
      <w:r w:rsidRPr="0022331B">
        <w:rPr>
          <w:sz w:val="24"/>
          <w:szCs w:val="24"/>
        </w:rPr>
        <w:t xml:space="preserve"> </w:t>
      </w:r>
      <w:r w:rsidR="00075AC3" w:rsidRPr="0022331B">
        <w:rPr>
          <w:sz w:val="24"/>
          <w:szCs w:val="24"/>
        </w:rPr>
        <w:t>In private hands.)</w:t>
      </w:r>
    </w:p>
    <w:p w14:paraId="259F8CC4" w14:textId="77777777" w:rsidR="00075AC3" w:rsidRPr="0022331B" w:rsidRDefault="00075AC3" w:rsidP="00BD6331">
      <w:pPr>
        <w:pStyle w:val="Text"/>
        <w:spacing w:line="300" w:lineRule="auto"/>
        <w:rPr>
          <w:sz w:val="24"/>
          <w:szCs w:val="24"/>
        </w:rPr>
      </w:pPr>
      <w:proofErr w:type="spellStart"/>
      <w:r w:rsidRPr="0022331B">
        <w:rPr>
          <w:sz w:val="24"/>
          <w:szCs w:val="24"/>
        </w:rPr>
        <w:t>Ziba</w:t>
      </w:r>
      <w:proofErr w:type="spellEnd"/>
      <w:r w:rsidRPr="0022331B">
        <w:rPr>
          <w:sz w:val="24"/>
          <w:szCs w:val="24"/>
        </w:rPr>
        <w:t xml:space="preserve"> Khanum bore one son by her master who was named Ghulam</w:t>
      </w:r>
      <w:proofErr w:type="gramStart"/>
      <w:r w:rsidRPr="0022331B">
        <w:rPr>
          <w:sz w:val="24"/>
          <w:szCs w:val="24"/>
        </w:rPr>
        <w:t>-‘</w:t>
      </w:r>
      <w:proofErr w:type="gramEnd"/>
      <w:r w:rsidRPr="0022331B">
        <w:rPr>
          <w:sz w:val="24"/>
          <w:szCs w:val="24"/>
        </w:rPr>
        <w:t>Ali (slave of ‘Ali).  This is a common enough Muslim name, since the Imam ‘Ali is a holy figure in Shi</w:t>
      </w:r>
      <w:r w:rsidR="00A119BC" w:rsidRPr="0022331B">
        <w:rPr>
          <w:sz w:val="24"/>
          <w:szCs w:val="24"/>
        </w:rPr>
        <w:t>‘</w:t>
      </w:r>
      <w:r w:rsidRPr="0022331B">
        <w:rPr>
          <w:sz w:val="24"/>
          <w:szCs w:val="24"/>
        </w:rPr>
        <w:t xml:space="preserve">i Islam.  </w:t>
      </w:r>
      <w:r w:rsidR="00F116F4" w:rsidRPr="0022331B">
        <w:rPr>
          <w:sz w:val="24"/>
          <w:szCs w:val="24"/>
        </w:rPr>
        <w:t xml:space="preserve">However, </w:t>
      </w:r>
      <w:r w:rsidRPr="0022331B">
        <w:rPr>
          <w:sz w:val="24"/>
          <w:szCs w:val="24"/>
        </w:rPr>
        <w:t xml:space="preserve">the name has special resonance here with regard to slavery.  His father’s name was also ‘Ali, which both identifies him with, and subordinates him to, his mother’s master.  </w:t>
      </w:r>
      <w:r w:rsidRPr="0022331B">
        <w:rPr>
          <w:sz w:val="24"/>
          <w:szCs w:val="24"/>
        </w:rPr>
        <w:lastRenderedPageBreak/>
        <w:t>He took his father’s surname later in life and called himself Ghulam-‘Ali (Yazdi) Khurasani.  But he was universally known as an adult in Yazd as Ghulam</w:t>
      </w:r>
      <w:proofErr w:type="gramStart"/>
      <w:r w:rsidRPr="0022331B">
        <w:rPr>
          <w:sz w:val="24"/>
          <w:szCs w:val="24"/>
        </w:rPr>
        <w:t>-‘</w:t>
      </w:r>
      <w:proofErr w:type="gramEnd"/>
      <w:r w:rsidRPr="0022331B">
        <w:rPr>
          <w:sz w:val="24"/>
          <w:szCs w:val="24"/>
        </w:rPr>
        <w:t xml:space="preserve">Ali Siyah (the black), and perhaps not even pejoratively, though his grandchildren say that no one would call him that to his face.  Ghulam-‘Ali eventually left home and built a career as an Afro-Iranian merchant in Bandar Abbas, traveling first to Palestine and to India.  He returned to Yazd as a rich man and became a wealthy and notable person in the city.  His large mansion compound in Yazd still exists and has been </w:t>
      </w:r>
      <w:r w:rsidR="00A119BC" w:rsidRPr="0022331B">
        <w:rPr>
          <w:sz w:val="24"/>
          <w:szCs w:val="24"/>
        </w:rPr>
        <w:t>converted</w:t>
      </w:r>
      <w:r w:rsidRPr="0022331B">
        <w:rPr>
          <w:sz w:val="24"/>
          <w:szCs w:val="24"/>
        </w:rPr>
        <w:t xml:space="preserve"> into a modern hotel.</w:t>
      </w:r>
      <w:r w:rsidRPr="0022331B">
        <w:rPr>
          <w:rStyle w:val="FootnoteReference"/>
          <w:sz w:val="24"/>
          <w:szCs w:val="24"/>
        </w:rPr>
        <w:footnoteReference w:id="15"/>
      </w:r>
      <w:r w:rsidRPr="0022331B">
        <w:rPr>
          <w:sz w:val="24"/>
          <w:szCs w:val="24"/>
        </w:rPr>
        <w:t xml:space="preserve">  Ghulam</w:t>
      </w:r>
      <w:proofErr w:type="gramStart"/>
      <w:r w:rsidRPr="0022331B">
        <w:rPr>
          <w:sz w:val="24"/>
          <w:szCs w:val="24"/>
        </w:rPr>
        <w:t>-‘</w:t>
      </w:r>
      <w:proofErr w:type="gramEnd"/>
      <w:r w:rsidRPr="0022331B">
        <w:rPr>
          <w:sz w:val="24"/>
          <w:szCs w:val="24"/>
        </w:rPr>
        <w:t>Ali become a Baha’i</w:t>
      </w:r>
      <w:r w:rsidR="00A119BC" w:rsidRPr="0022331B">
        <w:rPr>
          <w:sz w:val="24"/>
          <w:szCs w:val="24"/>
        </w:rPr>
        <w:t>, while still a teenager</w:t>
      </w:r>
      <w:r w:rsidRPr="0022331B">
        <w:rPr>
          <w:sz w:val="24"/>
          <w:szCs w:val="24"/>
        </w:rPr>
        <w:t>, a follower of a persecuted minority religion in Iran.</w:t>
      </w:r>
      <w:r w:rsidRPr="0022331B">
        <w:rPr>
          <w:rStyle w:val="FootnoteReference"/>
          <w:sz w:val="24"/>
          <w:szCs w:val="24"/>
        </w:rPr>
        <w:footnoteReference w:id="16"/>
      </w:r>
      <w:r w:rsidRPr="0022331B">
        <w:rPr>
          <w:sz w:val="24"/>
          <w:szCs w:val="24"/>
        </w:rPr>
        <w:t xml:space="preserve">  </w:t>
      </w:r>
      <w:proofErr w:type="spellStart"/>
      <w:r w:rsidRPr="0022331B">
        <w:rPr>
          <w:sz w:val="24"/>
          <w:szCs w:val="24"/>
        </w:rPr>
        <w:t>Ziba</w:t>
      </w:r>
      <w:proofErr w:type="spellEnd"/>
      <w:r w:rsidRPr="0022331B">
        <w:rPr>
          <w:sz w:val="24"/>
          <w:szCs w:val="24"/>
        </w:rPr>
        <w:t xml:space="preserve"> Khanum lived in her son’s Baha’i household after his return, with his children and grandchildren until the end of her life.</w:t>
      </w:r>
    </w:p>
    <w:p w14:paraId="74E808E7" w14:textId="77777777" w:rsidR="00075AC3" w:rsidRPr="0022331B" w:rsidRDefault="00075AC3" w:rsidP="00BD6331">
      <w:pPr>
        <w:pStyle w:val="Heading2"/>
        <w:spacing w:line="300" w:lineRule="auto"/>
        <w:rPr>
          <w:sz w:val="28"/>
          <w:szCs w:val="28"/>
        </w:rPr>
      </w:pPr>
      <w:r w:rsidRPr="0022331B">
        <w:rPr>
          <w:sz w:val="28"/>
          <w:szCs w:val="28"/>
        </w:rPr>
        <w:t xml:space="preserve">Conversion and </w:t>
      </w:r>
      <w:r w:rsidR="00A119BC" w:rsidRPr="0022331B">
        <w:rPr>
          <w:sz w:val="28"/>
          <w:szCs w:val="28"/>
        </w:rPr>
        <w:t>p</w:t>
      </w:r>
      <w:r w:rsidRPr="0022331B">
        <w:rPr>
          <w:sz w:val="28"/>
          <w:szCs w:val="28"/>
        </w:rPr>
        <w:t>ilgrimage</w:t>
      </w:r>
    </w:p>
    <w:p w14:paraId="04AA6D9F" w14:textId="77777777" w:rsidR="00075AC3" w:rsidRPr="0022331B" w:rsidRDefault="00075AC3" w:rsidP="00BD6331">
      <w:pPr>
        <w:pStyle w:val="Text"/>
        <w:spacing w:line="300" w:lineRule="auto"/>
        <w:rPr>
          <w:sz w:val="24"/>
          <w:szCs w:val="24"/>
        </w:rPr>
      </w:pPr>
      <w:r w:rsidRPr="0022331B">
        <w:rPr>
          <w:sz w:val="24"/>
          <w:szCs w:val="24"/>
        </w:rPr>
        <w:t>As his Baha’i descendants remember it, Ghulam</w:t>
      </w:r>
      <w:proofErr w:type="gramStart"/>
      <w:r w:rsidRPr="0022331B">
        <w:rPr>
          <w:sz w:val="24"/>
          <w:szCs w:val="24"/>
        </w:rPr>
        <w:t>-‘</w:t>
      </w:r>
      <w:proofErr w:type="gramEnd"/>
      <w:r w:rsidRPr="0022331B">
        <w:rPr>
          <w:sz w:val="24"/>
          <w:szCs w:val="24"/>
        </w:rPr>
        <w:t xml:space="preserve">Ali was converted to the Baha’i Faith in his early youth.  He would accompany his father to </w:t>
      </w:r>
      <w:r w:rsidR="00A119BC" w:rsidRPr="0022331B">
        <w:rPr>
          <w:sz w:val="24"/>
          <w:szCs w:val="24"/>
        </w:rPr>
        <w:t xml:space="preserve">regular </w:t>
      </w:r>
      <w:r w:rsidRPr="0022331B">
        <w:rPr>
          <w:sz w:val="24"/>
          <w:szCs w:val="24"/>
        </w:rPr>
        <w:t>gatherings of men that were held as social occasions, for business and entertainment, to smoke opium, etc.  There were Baha’is at these gatherings who would talk about their religion.  This was a normal part of nineteenth-century social life among wealthy men in Iran.  In fact, Ghulam-‘Ali continued this practice in his own wealthy household in Yazd into the mid-twentieth century, entertaining men with food and conversation every night, almost to the end of his life.  Ghulam</w:t>
      </w:r>
      <w:proofErr w:type="gramStart"/>
      <w:r w:rsidRPr="0022331B">
        <w:rPr>
          <w:sz w:val="24"/>
          <w:szCs w:val="24"/>
        </w:rPr>
        <w:t>-‘</w:t>
      </w:r>
      <w:proofErr w:type="gramEnd"/>
      <w:r w:rsidRPr="0022331B">
        <w:rPr>
          <w:sz w:val="24"/>
          <w:szCs w:val="24"/>
        </w:rPr>
        <w:t>Ali accepted the Baha’i Faith as a matter of personal conviction as a teenager, but he told no one about his beliefs, not even his father.  His half-brother, Muhammad-</w:t>
      </w:r>
      <w:proofErr w:type="spellStart"/>
      <w:proofErr w:type="gramStart"/>
      <w:r w:rsidRPr="0022331B">
        <w:rPr>
          <w:sz w:val="24"/>
          <w:szCs w:val="24"/>
        </w:rPr>
        <w:t>Isma</w:t>
      </w:r>
      <w:r w:rsidR="00A119BC" w:rsidRPr="0022331B">
        <w:rPr>
          <w:sz w:val="24"/>
          <w:szCs w:val="24"/>
        </w:rPr>
        <w:t>‘</w:t>
      </w:r>
      <w:proofErr w:type="gramEnd"/>
      <w:r w:rsidRPr="0022331B">
        <w:rPr>
          <w:sz w:val="24"/>
          <w:szCs w:val="24"/>
        </w:rPr>
        <w:t>il</w:t>
      </w:r>
      <w:proofErr w:type="spellEnd"/>
      <w:r w:rsidRPr="0022331B">
        <w:rPr>
          <w:sz w:val="24"/>
          <w:szCs w:val="24"/>
        </w:rPr>
        <w:t xml:space="preserve"> </w:t>
      </w:r>
      <w:proofErr w:type="spellStart"/>
      <w:r w:rsidRPr="0022331B">
        <w:rPr>
          <w:sz w:val="24"/>
          <w:szCs w:val="24"/>
        </w:rPr>
        <w:t>Khurasani</w:t>
      </w:r>
      <w:proofErr w:type="spellEnd"/>
      <w:r w:rsidRPr="0022331B">
        <w:rPr>
          <w:sz w:val="24"/>
          <w:szCs w:val="24"/>
        </w:rPr>
        <w:t xml:space="preserve"> (also known as </w:t>
      </w:r>
      <w:proofErr w:type="spellStart"/>
      <w:r w:rsidRPr="0022331B">
        <w:rPr>
          <w:sz w:val="24"/>
          <w:szCs w:val="24"/>
        </w:rPr>
        <w:t>Gunduli</w:t>
      </w:r>
      <w:proofErr w:type="spellEnd"/>
      <w:r w:rsidRPr="0022331B">
        <w:rPr>
          <w:sz w:val="24"/>
          <w:szCs w:val="24"/>
        </w:rPr>
        <w:t xml:space="preserve">), became a Baha’i as well.  </w:t>
      </w:r>
      <w:r w:rsidR="00A119BC" w:rsidRPr="0022331B">
        <w:rPr>
          <w:sz w:val="24"/>
          <w:szCs w:val="24"/>
        </w:rPr>
        <w:t>However,</w:t>
      </w:r>
      <w:r w:rsidRPr="0022331B">
        <w:rPr>
          <w:sz w:val="24"/>
          <w:szCs w:val="24"/>
        </w:rPr>
        <w:t xml:space="preserve"> Muhammad-</w:t>
      </w:r>
      <w:proofErr w:type="spellStart"/>
      <w:proofErr w:type="gramStart"/>
      <w:r w:rsidRPr="0022331B">
        <w:rPr>
          <w:sz w:val="24"/>
          <w:szCs w:val="24"/>
        </w:rPr>
        <w:t>Isma</w:t>
      </w:r>
      <w:r w:rsidR="00FA152A" w:rsidRPr="0022331B">
        <w:rPr>
          <w:sz w:val="24"/>
          <w:szCs w:val="24"/>
        </w:rPr>
        <w:t>‘</w:t>
      </w:r>
      <w:proofErr w:type="gramEnd"/>
      <w:r w:rsidRPr="0022331B">
        <w:rPr>
          <w:sz w:val="24"/>
          <w:szCs w:val="24"/>
        </w:rPr>
        <w:t>il</w:t>
      </w:r>
      <w:proofErr w:type="spellEnd"/>
      <w:r w:rsidRPr="0022331B">
        <w:rPr>
          <w:sz w:val="24"/>
          <w:szCs w:val="24"/>
        </w:rPr>
        <w:t xml:space="preserve"> was quite open about his new religion.   There were other Baha’is in their father’s social circle, particularly Haji Mirza Muhammad Afshar, a wealthy merchant in Yazd who was instrumental in converting Muhammad-Isma</w:t>
      </w:r>
      <w:r w:rsidR="00FA152A" w:rsidRPr="0022331B">
        <w:rPr>
          <w:sz w:val="24"/>
          <w:szCs w:val="24"/>
        </w:rPr>
        <w:t>‘</w:t>
      </w:r>
      <w:r w:rsidRPr="0022331B">
        <w:rPr>
          <w:sz w:val="24"/>
          <w:szCs w:val="24"/>
        </w:rPr>
        <w:t>il, and who would later become important in Ghulam-‘Ali’s life.</w:t>
      </w:r>
      <w:r w:rsidRPr="0022331B">
        <w:rPr>
          <w:rStyle w:val="FootnoteReference"/>
          <w:sz w:val="24"/>
          <w:szCs w:val="24"/>
        </w:rPr>
        <w:footnoteReference w:id="17"/>
      </w:r>
      <w:r w:rsidRPr="0022331B">
        <w:rPr>
          <w:sz w:val="24"/>
          <w:szCs w:val="24"/>
        </w:rPr>
        <w:t xml:space="preserve">  Apparently however, Ghulam-‘Ali was converted to the new faith by Haji </w:t>
      </w:r>
      <w:r w:rsidR="00FA152A" w:rsidRPr="0022331B">
        <w:rPr>
          <w:sz w:val="24"/>
          <w:szCs w:val="24"/>
        </w:rPr>
        <w:t>‘</w:t>
      </w:r>
      <w:proofErr w:type="spellStart"/>
      <w:r w:rsidRPr="0022331B">
        <w:rPr>
          <w:sz w:val="24"/>
          <w:szCs w:val="24"/>
        </w:rPr>
        <w:t>Abdu’l</w:t>
      </w:r>
      <w:proofErr w:type="spellEnd"/>
      <w:r w:rsidRPr="0022331B">
        <w:rPr>
          <w:sz w:val="24"/>
          <w:szCs w:val="24"/>
        </w:rPr>
        <w:t>-Rahim ‘</w:t>
      </w:r>
      <w:proofErr w:type="spellStart"/>
      <w:r w:rsidRPr="0022331B">
        <w:rPr>
          <w:sz w:val="24"/>
          <w:szCs w:val="24"/>
        </w:rPr>
        <w:t>Alaqband</w:t>
      </w:r>
      <w:proofErr w:type="spellEnd"/>
      <w:r w:rsidRPr="0022331B">
        <w:rPr>
          <w:sz w:val="24"/>
          <w:szCs w:val="24"/>
        </w:rPr>
        <w:t>, another wealthy merchant of Yazd.</w:t>
      </w:r>
      <w:r w:rsidRPr="0022331B">
        <w:rPr>
          <w:rStyle w:val="FootnoteReference"/>
          <w:sz w:val="24"/>
          <w:szCs w:val="24"/>
        </w:rPr>
        <w:footnoteReference w:id="18"/>
      </w:r>
      <w:r w:rsidRPr="0022331B">
        <w:rPr>
          <w:sz w:val="24"/>
          <w:szCs w:val="24"/>
        </w:rPr>
        <w:t xml:space="preserve">  So it appears that </w:t>
      </w:r>
      <w:r w:rsidRPr="0022331B">
        <w:rPr>
          <w:sz w:val="24"/>
          <w:szCs w:val="24"/>
        </w:rPr>
        <w:lastRenderedPageBreak/>
        <w:t>Ghulam-‘Ali was deeply enmeshed in his father’s business network and was connected to many wealthy merchants in Yazd.</w:t>
      </w:r>
    </w:p>
    <w:p w14:paraId="193C2F3A" w14:textId="77777777" w:rsidR="00075AC3" w:rsidRPr="0022331B" w:rsidRDefault="00075AC3" w:rsidP="00BD6331">
      <w:pPr>
        <w:pStyle w:val="Text"/>
        <w:spacing w:line="300" w:lineRule="auto"/>
        <w:rPr>
          <w:sz w:val="24"/>
          <w:szCs w:val="24"/>
        </w:rPr>
      </w:pPr>
      <w:r w:rsidRPr="0022331B">
        <w:rPr>
          <w:sz w:val="24"/>
          <w:szCs w:val="24"/>
        </w:rPr>
        <w:t>It seems that Haji Muhammad</w:t>
      </w:r>
      <w:proofErr w:type="gramStart"/>
      <w:r w:rsidRPr="0022331B">
        <w:rPr>
          <w:sz w:val="24"/>
          <w:szCs w:val="24"/>
        </w:rPr>
        <w:t>-‘</w:t>
      </w:r>
      <w:proofErr w:type="gramEnd"/>
      <w:r w:rsidRPr="0022331B">
        <w:rPr>
          <w:sz w:val="24"/>
          <w:szCs w:val="24"/>
        </w:rPr>
        <w:t xml:space="preserve">Ali died when his son, Ghulam-‘Ali, was quite young, perhaps 17 or 18.  According to the </w:t>
      </w:r>
      <w:proofErr w:type="spellStart"/>
      <w:r w:rsidRPr="0022331B">
        <w:rPr>
          <w:sz w:val="24"/>
          <w:szCs w:val="24"/>
        </w:rPr>
        <w:t>shari</w:t>
      </w:r>
      <w:r w:rsidR="00FA152A" w:rsidRPr="0022331B">
        <w:rPr>
          <w:sz w:val="24"/>
          <w:szCs w:val="24"/>
        </w:rPr>
        <w:t>‘</w:t>
      </w:r>
      <w:r w:rsidRPr="0022331B">
        <w:rPr>
          <w:sz w:val="24"/>
          <w:szCs w:val="24"/>
        </w:rPr>
        <w:t>a</w:t>
      </w:r>
      <w:proofErr w:type="spellEnd"/>
      <w:r w:rsidRPr="0022331B">
        <w:rPr>
          <w:sz w:val="24"/>
          <w:szCs w:val="24"/>
        </w:rPr>
        <w:t xml:space="preserve">, he should have inherited a portion of his father’s fortune, land and property.  </w:t>
      </w:r>
      <w:r w:rsidR="00FA152A" w:rsidRPr="0022331B">
        <w:rPr>
          <w:sz w:val="24"/>
          <w:szCs w:val="24"/>
        </w:rPr>
        <w:t>However,</w:t>
      </w:r>
      <w:r w:rsidRPr="0022331B">
        <w:rPr>
          <w:sz w:val="24"/>
          <w:szCs w:val="24"/>
        </w:rPr>
        <w:t xml:space="preserve"> it would seem that the </w:t>
      </w:r>
      <w:proofErr w:type="spellStart"/>
      <w:proofErr w:type="gramStart"/>
      <w:r w:rsidRPr="0022331B">
        <w:rPr>
          <w:sz w:val="24"/>
          <w:szCs w:val="24"/>
        </w:rPr>
        <w:t>shari</w:t>
      </w:r>
      <w:r w:rsidR="00FA152A" w:rsidRPr="0022331B">
        <w:rPr>
          <w:sz w:val="24"/>
          <w:szCs w:val="24"/>
        </w:rPr>
        <w:t>‘</w:t>
      </w:r>
      <w:proofErr w:type="gramEnd"/>
      <w:r w:rsidRPr="0022331B">
        <w:rPr>
          <w:sz w:val="24"/>
          <w:szCs w:val="24"/>
        </w:rPr>
        <w:t>a</w:t>
      </w:r>
      <w:proofErr w:type="spellEnd"/>
      <w:r w:rsidRPr="0022331B">
        <w:rPr>
          <w:sz w:val="24"/>
          <w:szCs w:val="24"/>
        </w:rPr>
        <w:t xml:space="preserve"> was ignored in this case, since Ghulam-‘Ali did not get any part of his father’s house, nor any land, and the family has no memory of an inheritance.  The </w:t>
      </w:r>
      <w:proofErr w:type="spellStart"/>
      <w:proofErr w:type="gramStart"/>
      <w:r w:rsidRPr="0022331B">
        <w:rPr>
          <w:sz w:val="24"/>
          <w:szCs w:val="24"/>
        </w:rPr>
        <w:t>shari</w:t>
      </w:r>
      <w:r w:rsidR="00FA152A" w:rsidRPr="0022331B">
        <w:rPr>
          <w:sz w:val="24"/>
          <w:szCs w:val="24"/>
        </w:rPr>
        <w:t>‘</w:t>
      </w:r>
      <w:proofErr w:type="gramEnd"/>
      <w:r w:rsidRPr="0022331B">
        <w:rPr>
          <w:sz w:val="24"/>
          <w:szCs w:val="24"/>
        </w:rPr>
        <w:t>a</w:t>
      </w:r>
      <w:proofErr w:type="spellEnd"/>
      <w:r w:rsidRPr="0022331B">
        <w:rPr>
          <w:sz w:val="24"/>
          <w:szCs w:val="24"/>
        </w:rPr>
        <w:t xml:space="preserve"> was interpreted and administered by Shi</w:t>
      </w:r>
      <w:r w:rsidR="00FA152A" w:rsidRPr="0022331B">
        <w:rPr>
          <w:sz w:val="24"/>
          <w:szCs w:val="24"/>
        </w:rPr>
        <w:t>‘</w:t>
      </w:r>
      <w:r w:rsidRPr="0022331B">
        <w:rPr>
          <w:sz w:val="24"/>
          <w:szCs w:val="24"/>
        </w:rPr>
        <w:t>i clerics in Yazd, and there was always room for manipulation of the law.</w:t>
      </w:r>
    </w:p>
    <w:p w14:paraId="34EC7BF8" w14:textId="77777777" w:rsidR="00075AC3" w:rsidRPr="0022331B" w:rsidRDefault="00075AC3" w:rsidP="00BD6331">
      <w:pPr>
        <w:pStyle w:val="Text"/>
        <w:spacing w:line="300" w:lineRule="auto"/>
        <w:rPr>
          <w:sz w:val="24"/>
          <w:szCs w:val="24"/>
        </w:rPr>
      </w:pPr>
      <w:r w:rsidRPr="0022331B">
        <w:rPr>
          <w:sz w:val="24"/>
          <w:szCs w:val="24"/>
        </w:rPr>
        <w:t>Ghulam</w:t>
      </w:r>
      <w:proofErr w:type="gramStart"/>
      <w:r w:rsidRPr="0022331B">
        <w:rPr>
          <w:sz w:val="24"/>
          <w:szCs w:val="24"/>
        </w:rPr>
        <w:t>-‘</w:t>
      </w:r>
      <w:proofErr w:type="gramEnd"/>
      <w:r w:rsidRPr="0022331B">
        <w:rPr>
          <w:sz w:val="24"/>
          <w:szCs w:val="24"/>
        </w:rPr>
        <w:t xml:space="preserve">Ali’s descendants do remember that </w:t>
      </w:r>
      <w:proofErr w:type="spellStart"/>
      <w:r w:rsidRPr="0022331B">
        <w:rPr>
          <w:sz w:val="24"/>
          <w:szCs w:val="24"/>
        </w:rPr>
        <w:t>Ziba</w:t>
      </w:r>
      <w:proofErr w:type="spellEnd"/>
      <w:r w:rsidRPr="0022331B">
        <w:rPr>
          <w:sz w:val="24"/>
          <w:szCs w:val="24"/>
        </w:rPr>
        <w:t xml:space="preserve"> Khanum had been given a jewel</w:t>
      </w:r>
      <w:r w:rsidR="00F76449" w:rsidRPr="0022331B">
        <w:rPr>
          <w:sz w:val="24"/>
          <w:szCs w:val="24"/>
        </w:rPr>
        <w:t>l</w:t>
      </w:r>
      <w:r w:rsidRPr="0022331B">
        <w:rPr>
          <w:sz w:val="24"/>
          <w:szCs w:val="24"/>
        </w:rPr>
        <w:t>ed skirt by her master that was extremely valuable, embroidered with gold threads and pearls.  This became his only inheritance.  After his father’s passing, Ghulam-‘Ali told his mother that he was a Baha’i and that he had determined to leave Yazd and travel to Palestine to meet Baha’u’llah (1817</w:t>
      </w:r>
      <w:r w:rsidR="00F116F4" w:rsidRPr="0022331B">
        <w:rPr>
          <w:sz w:val="24"/>
          <w:szCs w:val="24"/>
        </w:rPr>
        <w:t>–</w:t>
      </w:r>
      <w:r w:rsidRPr="0022331B">
        <w:rPr>
          <w:sz w:val="24"/>
          <w:szCs w:val="24"/>
        </w:rPr>
        <w:t>1892), the founder of the Baha’i Faith, who was still living in exile there as a prisoner of the Ottoman state.  As a Baha’i, Ghulam</w:t>
      </w:r>
      <w:proofErr w:type="gramStart"/>
      <w:r w:rsidRPr="0022331B">
        <w:rPr>
          <w:sz w:val="24"/>
          <w:szCs w:val="24"/>
        </w:rPr>
        <w:t>-‘</w:t>
      </w:r>
      <w:proofErr w:type="gramEnd"/>
      <w:r w:rsidRPr="0022331B">
        <w:rPr>
          <w:sz w:val="24"/>
          <w:szCs w:val="24"/>
        </w:rPr>
        <w:t>Ali would have believed Baha’u’llah to be a Prophet of God.  His mother supported his plans to make this pilgrimage and gave him her jewel</w:t>
      </w:r>
      <w:r w:rsidR="00F76449" w:rsidRPr="0022331B">
        <w:rPr>
          <w:sz w:val="24"/>
          <w:szCs w:val="24"/>
        </w:rPr>
        <w:t>l</w:t>
      </w:r>
      <w:r w:rsidRPr="0022331B">
        <w:rPr>
          <w:sz w:val="24"/>
          <w:szCs w:val="24"/>
        </w:rPr>
        <w:t xml:space="preserve">ed skirt, which he was able to sell for 700 </w:t>
      </w:r>
      <w:r w:rsidRPr="0022331B">
        <w:rPr>
          <w:i/>
          <w:sz w:val="24"/>
          <w:szCs w:val="24"/>
        </w:rPr>
        <w:t>tuman</w:t>
      </w:r>
      <w:r w:rsidRPr="0022331B">
        <w:rPr>
          <w:sz w:val="24"/>
          <w:szCs w:val="24"/>
        </w:rPr>
        <w:t xml:space="preserve"> (perhaps $1,400, sometime in the 1880s).</w:t>
      </w:r>
      <w:r w:rsidRPr="0022331B">
        <w:rPr>
          <w:rStyle w:val="FootnoteReference"/>
          <w:sz w:val="24"/>
          <w:szCs w:val="24"/>
        </w:rPr>
        <w:footnoteReference w:id="19"/>
      </w:r>
      <w:r w:rsidRPr="0022331B">
        <w:rPr>
          <w:sz w:val="24"/>
          <w:szCs w:val="24"/>
        </w:rPr>
        <w:t xml:space="preserve">  This was a substantial amount of money at the time.</w:t>
      </w:r>
    </w:p>
    <w:p w14:paraId="6F5C9FE6" w14:textId="77777777" w:rsidR="00075AC3" w:rsidRPr="0022331B" w:rsidRDefault="00075AC3" w:rsidP="00BD6331">
      <w:pPr>
        <w:pStyle w:val="Heading2"/>
        <w:spacing w:line="300" w:lineRule="auto"/>
        <w:rPr>
          <w:sz w:val="28"/>
          <w:szCs w:val="28"/>
        </w:rPr>
      </w:pPr>
      <w:r w:rsidRPr="0022331B">
        <w:rPr>
          <w:sz w:val="28"/>
          <w:szCs w:val="28"/>
        </w:rPr>
        <w:t xml:space="preserve">The </w:t>
      </w:r>
      <w:r w:rsidR="00FA3183" w:rsidRPr="0022331B">
        <w:rPr>
          <w:sz w:val="28"/>
          <w:szCs w:val="28"/>
        </w:rPr>
        <w:t>l</w:t>
      </w:r>
      <w:r w:rsidRPr="0022331B">
        <w:rPr>
          <w:sz w:val="28"/>
          <w:szCs w:val="28"/>
        </w:rPr>
        <w:t xml:space="preserve">imited </w:t>
      </w:r>
      <w:r w:rsidR="00FA3183" w:rsidRPr="0022331B">
        <w:rPr>
          <w:sz w:val="28"/>
          <w:szCs w:val="28"/>
        </w:rPr>
        <w:t>v</w:t>
      </w:r>
      <w:r w:rsidRPr="0022331B">
        <w:rPr>
          <w:sz w:val="28"/>
          <w:szCs w:val="28"/>
        </w:rPr>
        <w:t xml:space="preserve">alue of </w:t>
      </w:r>
      <w:r w:rsidR="00FA3183" w:rsidRPr="0022331B">
        <w:rPr>
          <w:sz w:val="28"/>
          <w:szCs w:val="28"/>
        </w:rPr>
        <w:t>b</w:t>
      </w:r>
      <w:r w:rsidRPr="0022331B">
        <w:rPr>
          <w:sz w:val="28"/>
          <w:szCs w:val="28"/>
        </w:rPr>
        <w:t xml:space="preserve">inary </w:t>
      </w:r>
      <w:r w:rsidR="00FA3183" w:rsidRPr="0022331B">
        <w:rPr>
          <w:sz w:val="28"/>
          <w:szCs w:val="28"/>
        </w:rPr>
        <w:t>c</w:t>
      </w:r>
      <w:r w:rsidRPr="0022331B">
        <w:rPr>
          <w:sz w:val="28"/>
          <w:szCs w:val="28"/>
        </w:rPr>
        <w:t xml:space="preserve">oncepts of </w:t>
      </w:r>
      <w:r w:rsidR="00FA3183" w:rsidRPr="0022331B">
        <w:rPr>
          <w:sz w:val="28"/>
          <w:szCs w:val="28"/>
        </w:rPr>
        <w:t>s</w:t>
      </w:r>
      <w:r w:rsidRPr="0022331B">
        <w:rPr>
          <w:sz w:val="28"/>
          <w:szCs w:val="28"/>
        </w:rPr>
        <w:t xml:space="preserve">lave vs. </w:t>
      </w:r>
      <w:r w:rsidR="00FA3183" w:rsidRPr="0022331B">
        <w:rPr>
          <w:sz w:val="28"/>
          <w:szCs w:val="28"/>
        </w:rPr>
        <w:t>f</w:t>
      </w:r>
      <w:r w:rsidRPr="0022331B">
        <w:rPr>
          <w:sz w:val="28"/>
          <w:szCs w:val="28"/>
        </w:rPr>
        <w:t>ree</w:t>
      </w:r>
    </w:p>
    <w:p w14:paraId="4F6F2D58" w14:textId="77777777" w:rsidR="00075AC3" w:rsidRPr="0022331B" w:rsidRDefault="00075AC3" w:rsidP="00BD6331">
      <w:pPr>
        <w:pStyle w:val="Text"/>
        <w:spacing w:line="300" w:lineRule="auto"/>
        <w:rPr>
          <w:sz w:val="24"/>
          <w:szCs w:val="24"/>
        </w:rPr>
      </w:pPr>
      <w:proofErr w:type="spellStart"/>
      <w:r w:rsidRPr="0022331B">
        <w:rPr>
          <w:sz w:val="24"/>
          <w:szCs w:val="24"/>
        </w:rPr>
        <w:t>Ziba</w:t>
      </w:r>
      <w:proofErr w:type="spellEnd"/>
      <w:r w:rsidRPr="0022331B">
        <w:rPr>
          <w:sz w:val="24"/>
          <w:szCs w:val="24"/>
        </w:rPr>
        <w:t xml:space="preserve"> Khanum remained in the household of her deceased master and continued to live with his family in Yazd after the departure of her son.  Certainly, she would have remained a servant in the house and would have continued to perform her domestic duties as she had before.  Her legal status as a free woman, if it was recognized at all by the late Haji Muhammad</w:t>
      </w:r>
      <w:proofErr w:type="gramStart"/>
      <w:r w:rsidRPr="0022331B">
        <w:rPr>
          <w:sz w:val="24"/>
          <w:szCs w:val="24"/>
        </w:rPr>
        <w:t>-‘</w:t>
      </w:r>
      <w:proofErr w:type="gramEnd"/>
      <w:r w:rsidRPr="0022331B">
        <w:rPr>
          <w:sz w:val="24"/>
          <w:szCs w:val="24"/>
        </w:rPr>
        <w:t>Ali’s family, would have been of little consequence.  She remained a dependent of the family and lived in their household, with no other place to go.  Her situation illustrates the problem of applying Western legal categories of “slave” and “free” to the lived experience of enslaved women in Iran.  I have discussed this theoretical problem elsewhere.</w:t>
      </w:r>
      <w:r w:rsidRPr="0022331B">
        <w:rPr>
          <w:rStyle w:val="FootnoteReference"/>
          <w:sz w:val="24"/>
          <w:szCs w:val="24"/>
        </w:rPr>
        <w:footnoteReference w:id="20"/>
      </w:r>
    </w:p>
    <w:p w14:paraId="772B6D4B" w14:textId="77777777" w:rsidR="00075AC3" w:rsidRPr="0022331B" w:rsidRDefault="00075AC3" w:rsidP="00BD6331">
      <w:pPr>
        <w:pStyle w:val="Text"/>
        <w:spacing w:line="300" w:lineRule="auto"/>
        <w:rPr>
          <w:sz w:val="24"/>
          <w:szCs w:val="24"/>
        </w:rPr>
      </w:pPr>
      <w:r w:rsidRPr="0022331B">
        <w:rPr>
          <w:sz w:val="24"/>
          <w:szCs w:val="24"/>
        </w:rPr>
        <w:t>Historians of Middle Eastern slavery have warned about the limited value of binary legal distinctions between slavery and freedom when applied to the study of the Muslim world.</w:t>
      </w:r>
      <w:r w:rsidRPr="0022331B">
        <w:rPr>
          <w:rStyle w:val="FootnoteReference"/>
          <w:sz w:val="24"/>
          <w:szCs w:val="24"/>
        </w:rPr>
        <w:footnoteReference w:id="21"/>
      </w:r>
      <w:r w:rsidRPr="0022331B">
        <w:rPr>
          <w:sz w:val="24"/>
          <w:szCs w:val="24"/>
        </w:rPr>
        <w:t xml:space="preserve">  Such legal concepts presuppose a secular state that is able to guarantee the lives and properties of individuals who can claim its protection.  It is this guarantee of security made </w:t>
      </w:r>
      <w:r w:rsidRPr="0022331B">
        <w:rPr>
          <w:sz w:val="24"/>
          <w:szCs w:val="24"/>
        </w:rPr>
        <w:lastRenderedPageBreak/>
        <w:t xml:space="preserve">by the modern state </w:t>
      </w:r>
      <w:r w:rsidR="00FA3183" w:rsidRPr="0022331B">
        <w:rPr>
          <w:sz w:val="24"/>
          <w:szCs w:val="24"/>
        </w:rPr>
        <w:t>that</w:t>
      </w:r>
      <w:r w:rsidRPr="0022331B">
        <w:rPr>
          <w:sz w:val="24"/>
          <w:szCs w:val="24"/>
        </w:rPr>
        <w:t>, at least theoretically, releases a free person from dependence on, or obedience to, powerful others and allows for free choices within the law.  Slaves, within this system, were excluded from such guarantees in modern Western societies and were held as chattel property for life by their owners.  They lived in a relationship of total dependence on their masters, the only relationship of theirs that the law would recognize.  The slave uniquely was forced to survive without the protection of law, family, or state, reliant only on his master.</w:t>
      </w:r>
    </w:p>
    <w:p w14:paraId="580CDEC4" w14:textId="77777777" w:rsidR="00075AC3" w:rsidRPr="0022331B" w:rsidRDefault="00FA3183" w:rsidP="00BD6331">
      <w:pPr>
        <w:pStyle w:val="Text"/>
        <w:spacing w:line="300" w:lineRule="auto"/>
        <w:rPr>
          <w:sz w:val="24"/>
          <w:szCs w:val="24"/>
        </w:rPr>
      </w:pPr>
      <w:r w:rsidRPr="0022331B">
        <w:rPr>
          <w:sz w:val="24"/>
          <w:szCs w:val="24"/>
        </w:rPr>
        <w:t>C</w:t>
      </w:r>
      <w:r w:rsidR="00075AC3" w:rsidRPr="0022331B">
        <w:rPr>
          <w:sz w:val="24"/>
          <w:szCs w:val="24"/>
        </w:rPr>
        <w:t>oncepts of slave and free are of limited value when discussing pre-modern societies that are not constructed around the idea of rights, citizenship or of a secular state</w:t>
      </w:r>
      <w:r w:rsidRPr="0022331B">
        <w:rPr>
          <w:sz w:val="24"/>
          <w:szCs w:val="24"/>
        </w:rPr>
        <w:t>;</w:t>
      </w:r>
      <w:r w:rsidR="00075AC3" w:rsidRPr="0022331B">
        <w:rPr>
          <w:sz w:val="24"/>
          <w:szCs w:val="24"/>
        </w:rPr>
        <w:t xml:space="preserve"> but rather built on concepts or kinship, belonging, religious authority and hierarchies of social dependence.  In nineteenth-century Iran, personal security could only be maintained by ties of kinship, household belonging, community solidarity, or the protection of a powerful and wealthy patron.  There was no ideal within the society of freedom from such relationships, with their implications of dependence, obedience and obligation.  Furthermore, any such freedom would have left an individual isolated and vulnerable.  This was true for anyone, but particularly true for women who, whether slave or free, were never regarded as autonomous agents but always attached to a male patron (father, husband, brother </w:t>
      </w:r>
      <w:r w:rsidRPr="0022331B">
        <w:rPr>
          <w:sz w:val="24"/>
          <w:szCs w:val="24"/>
        </w:rPr>
        <w:t xml:space="preserve">or </w:t>
      </w:r>
      <w:r w:rsidR="00075AC3" w:rsidRPr="0022331B">
        <w:rPr>
          <w:sz w:val="24"/>
          <w:szCs w:val="24"/>
        </w:rPr>
        <w:t>master).</w:t>
      </w:r>
    </w:p>
    <w:p w14:paraId="00CADD40" w14:textId="77777777" w:rsidR="00833750" w:rsidRPr="0022331B" w:rsidRDefault="00075AC3" w:rsidP="00BD6331">
      <w:pPr>
        <w:pStyle w:val="Text"/>
        <w:spacing w:line="300" w:lineRule="auto"/>
        <w:rPr>
          <w:sz w:val="24"/>
          <w:szCs w:val="24"/>
        </w:rPr>
      </w:pPr>
      <w:r w:rsidRPr="0022331B">
        <w:rPr>
          <w:sz w:val="24"/>
          <w:szCs w:val="24"/>
        </w:rPr>
        <w:t xml:space="preserve">All enslaved persons in nineteenth-century Iran, and for the most part all other persons as well, necessarily were embedded in Muslim households, and moved along a continuum of whatever situation of power, respect, wealth and independence they might be able to negotiate within those households.  All women tended to occupy positions outside of the public sphere and at the margins of wealth and power, slave women most especially.  They moved toward the </w:t>
      </w:r>
      <w:proofErr w:type="spellStart"/>
      <w:r w:rsidRPr="0022331B">
        <w:rPr>
          <w:sz w:val="24"/>
          <w:szCs w:val="24"/>
        </w:rPr>
        <w:t>center</w:t>
      </w:r>
      <w:proofErr w:type="spellEnd"/>
      <w:r w:rsidRPr="0022331B">
        <w:rPr>
          <w:sz w:val="24"/>
          <w:szCs w:val="24"/>
        </w:rPr>
        <w:t xml:space="preserve"> of their households as they performed valuable domestic duties, found </w:t>
      </w:r>
      <w:proofErr w:type="spellStart"/>
      <w:r w:rsidRPr="0022331B">
        <w:rPr>
          <w:sz w:val="24"/>
          <w:szCs w:val="24"/>
        </w:rPr>
        <w:t>favor</w:t>
      </w:r>
      <w:proofErr w:type="spellEnd"/>
      <w:r w:rsidRPr="0022331B">
        <w:rPr>
          <w:sz w:val="24"/>
          <w:szCs w:val="24"/>
        </w:rPr>
        <w:t xml:space="preserve"> within the family, became the master’s regular sexual partner and bore the master’s heirs.  The most important consideration for enslaved African women may not have been their legal status as slaves, since no sharp distinction in law or practice existed.  Rather, their aim would have been to negotiate</w:t>
      </w:r>
      <w:r w:rsidR="00833750" w:rsidRPr="0022331B">
        <w:rPr>
          <w:sz w:val="24"/>
          <w:szCs w:val="24"/>
        </w:rPr>
        <w:t>,</w:t>
      </w:r>
      <w:r w:rsidRPr="0022331B">
        <w:rPr>
          <w:sz w:val="24"/>
          <w:szCs w:val="24"/>
        </w:rPr>
        <w:t xml:space="preserve"> </w:t>
      </w:r>
      <w:r w:rsidR="00833750" w:rsidRPr="0022331B">
        <w:rPr>
          <w:sz w:val="24"/>
          <w:szCs w:val="24"/>
        </w:rPr>
        <w:t xml:space="preserve">with the family that they were attached to, </w:t>
      </w:r>
      <w:r w:rsidRPr="0022331B">
        <w:rPr>
          <w:sz w:val="24"/>
          <w:szCs w:val="24"/>
        </w:rPr>
        <w:t>the most respected position that they could achieve.  In fact, that would have been the goal of most women, whether slave or free, in nineteenth-century Iran.</w:t>
      </w:r>
    </w:p>
    <w:p w14:paraId="01967DC7" w14:textId="77777777" w:rsidR="00075AC3" w:rsidRPr="0022331B" w:rsidRDefault="00075AC3" w:rsidP="00BD6331">
      <w:pPr>
        <w:pStyle w:val="Heading2"/>
        <w:spacing w:line="300" w:lineRule="auto"/>
        <w:rPr>
          <w:sz w:val="28"/>
          <w:szCs w:val="28"/>
        </w:rPr>
      </w:pPr>
      <w:r w:rsidRPr="0022331B">
        <w:rPr>
          <w:sz w:val="28"/>
          <w:szCs w:val="28"/>
        </w:rPr>
        <w:t>From Yazd to Palestine and India</w:t>
      </w:r>
    </w:p>
    <w:p w14:paraId="0563DE24" w14:textId="77777777" w:rsidR="00075AC3" w:rsidRPr="0022331B" w:rsidRDefault="00075AC3" w:rsidP="00BD6331">
      <w:pPr>
        <w:pStyle w:val="Text"/>
        <w:spacing w:line="300" w:lineRule="auto"/>
        <w:rPr>
          <w:sz w:val="24"/>
          <w:szCs w:val="24"/>
        </w:rPr>
      </w:pPr>
      <w:r w:rsidRPr="0022331B">
        <w:rPr>
          <w:sz w:val="24"/>
          <w:szCs w:val="24"/>
        </w:rPr>
        <w:t xml:space="preserve">Ghulam-‘Ali’s rapid departure from the city of Yazd is explained by the family lore of his descendants as a consequence of religious devotion, simply a desire to make a pilgrimage to attain the blessings of the Baha’i Prophet.  However, it might also suggest some conflict or insecurity that would cause him to leave the city, especially since he did not return after his pilgrimage.  His mother’s willingness to support his departure might reinforce such a suspicion. </w:t>
      </w:r>
      <w:r w:rsidR="00833750" w:rsidRPr="0022331B">
        <w:rPr>
          <w:sz w:val="24"/>
          <w:szCs w:val="24"/>
        </w:rPr>
        <w:t xml:space="preserve"> However,</w:t>
      </w:r>
      <w:r w:rsidRPr="0022331B">
        <w:rPr>
          <w:sz w:val="24"/>
          <w:szCs w:val="24"/>
        </w:rPr>
        <w:t xml:space="preserve"> her support may also suggest that she herself had become a Baha’i and wanted her son to make the pilgrimage as an act of piety.  In any case, she supported her son’s exit from the city, giving him the only asset she owned.</w:t>
      </w:r>
    </w:p>
    <w:p w14:paraId="634DB572" w14:textId="77777777" w:rsidR="00075AC3" w:rsidRPr="0022331B" w:rsidRDefault="00075AC3" w:rsidP="00BD6331">
      <w:pPr>
        <w:pStyle w:val="Text"/>
        <w:spacing w:line="300" w:lineRule="auto"/>
        <w:rPr>
          <w:sz w:val="24"/>
          <w:szCs w:val="24"/>
        </w:rPr>
      </w:pPr>
      <w:r w:rsidRPr="0022331B">
        <w:rPr>
          <w:sz w:val="24"/>
          <w:szCs w:val="24"/>
        </w:rPr>
        <w:lastRenderedPageBreak/>
        <w:t>Yazd has a very long history of violent persecution of Baha’is.</w:t>
      </w:r>
      <w:r w:rsidRPr="0022331B">
        <w:rPr>
          <w:rStyle w:val="FootnoteReference"/>
          <w:sz w:val="24"/>
          <w:szCs w:val="24"/>
        </w:rPr>
        <w:footnoteReference w:id="22"/>
      </w:r>
      <w:r w:rsidRPr="0022331B">
        <w:rPr>
          <w:sz w:val="24"/>
          <w:szCs w:val="24"/>
        </w:rPr>
        <w:t xml:space="preserve">  From the founding of the movement in 1844, Babis and Baha’is in Iran </w:t>
      </w:r>
      <w:r w:rsidR="00833750" w:rsidRPr="0022331B">
        <w:rPr>
          <w:sz w:val="24"/>
          <w:szCs w:val="24"/>
        </w:rPr>
        <w:t>were</w:t>
      </w:r>
      <w:r w:rsidRPr="0022331B">
        <w:rPr>
          <w:sz w:val="24"/>
          <w:szCs w:val="24"/>
        </w:rPr>
        <w:t xml:space="preserve"> regarded as heretics and apostates from Islam.   As a result, there was always a rather intolerant attitude toward Baha’is among the </w:t>
      </w:r>
      <w:r w:rsidR="00833750" w:rsidRPr="0022331B">
        <w:rPr>
          <w:sz w:val="24"/>
          <w:szCs w:val="24"/>
        </w:rPr>
        <w:t>‘</w:t>
      </w:r>
      <w:r w:rsidRPr="0022331B">
        <w:rPr>
          <w:sz w:val="24"/>
          <w:szCs w:val="24"/>
        </w:rPr>
        <w:t xml:space="preserve">ulama in Yazd.  Nonetheless, some clerics in the city were indifferent, at first, to the movement, while a few even became secret believers.  </w:t>
      </w:r>
      <w:r w:rsidR="00833750" w:rsidRPr="0022331B">
        <w:rPr>
          <w:sz w:val="24"/>
          <w:szCs w:val="24"/>
        </w:rPr>
        <w:t>However, b</w:t>
      </w:r>
      <w:r w:rsidRPr="0022331B">
        <w:rPr>
          <w:sz w:val="24"/>
          <w:szCs w:val="24"/>
        </w:rPr>
        <w:t>y 1873 repression and persecution became more serious, culminating in 1891, with the arrest and execution of seven Baha’i men.  There was also widespread harassment and looting of Baha’i properties.</w:t>
      </w:r>
      <w:r w:rsidRPr="0022331B">
        <w:rPr>
          <w:rStyle w:val="FootnoteReference"/>
          <w:sz w:val="24"/>
          <w:szCs w:val="24"/>
        </w:rPr>
        <w:footnoteReference w:id="23"/>
      </w:r>
      <w:r w:rsidRPr="0022331B">
        <w:rPr>
          <w:sz w:val="24"/>
          <w:szCs w:val="24"/>
        </w:rPr>
        <w:t xml:space="preserve">   If Ghulam</w:t>
      </w:r>
      <w:proofErr w:type="gramStart"/>
      <w:r w:rsidRPr="0022331B">
        <w:rPr>
          <w:sz w:val="24"/>
          <w:szCs w:val="24"/>
        </w:rPr>
        <w:t>-‘</w:t>
      </w:r>
      <w:proofErr w:type="gramEnd"/>
      <w:r w:rsidRPr="0022331B">
        <w:rPr>
          <w:sz w:val="24"/>
          <w:szCs w:val="24"/>
        </w:rPr>
        <w:t xml:space="preserve">Ali’s Baha’i identity had become known by this time, he may have felt under threat.  Also, being a Baha’i would have been grounds to disqualify him for inheritance, since according to the </w:t>
      </w:r>
      <w:proofErr w:type="spellStart"/>
      <w:r w:rsidRPr="0022331B">
        <w:rPr>
          <w:sz w:val="24"/>
          <w:szCs w:val="24"/>
        </w:rPr>
        <w:t>shari’a</w:t>
      </w:r>
      <w:proofErr w:type="spellEnd"/>
      <w:r w:rsidRPr="0022331B">
        <w:rPr>
          <w:sz w:val="24"/>
          <w:szCs w:val="24"/>
        </w:rPr>
        <w:t>, non-Muslims can inherit nothing from a Muslim relative.</w:t>
      </w:r>
      <w:r w:rsidRPr="0022331B">
        <w:rPr>
          <w:rStyle w:val="FootnoteReference"/>
          <w:sz w:val="24"/>
          <w:szCs w:val="24"/>
        </w:rPr>
        <w:footnoteReference w:id="24"/>
      </w:r>
    </w:p>
    <w:p w14:paraId="3736C7FA" w14:textId="77777777" w:rsidR="00075AC3" w:rsidRPr="0022331B" w:rsidRDefault="00075AC3" w:rsidP="00BD6331">
      <w:pPr>
        <w:pStyle w:val="Text"/>
        <w:spacing w:line="300" w:lineRule="auto"/>
        <w:rPr>
          <w:sz w:val="24"/>
          <w:szCs w:val="24"/>
        </w:rPr>
      </w:pPr>
      <w:r w:rsidRPr="0022331B">
        <w:rPr>
          <w:sz w:val="24"/>
          <w:szCs w:val="24"/>
        </w:rPr>
        <w:t>In any case, Ghulam-‘Ali left Yazd with a large amount of money and arrived in ‘Akka, Palestine, where he lived in the household of Baha’u’llah for some months.</w:t>
      </w:r>
      <w:r w:rsidRPr="0022331B">
        <w:rPr>
          <w:rStyle w:val="FootnoteReference"/>
          <w:sz w:val="24"/>
          <w:szCs w:val="24"/>
        </w:rPr>
        <w:footnoteReference w:id="25"/>
      </w:r>
      <w:r w:rsidRPr="0022331B">
        <w:rPr>
          <w:sz w:val="24"/>
          <w:szCs w:val="24"/>
        </w:rPr>
        <w:t xml:space="preserve">  Although he was unable to meet the Prophet, it was probably during this time that he received a Tablet (a letter) addressed to him by Baha’u’llah.  This was considered a great </w:t>
      </w:r>
      <w:proofErr w:type="spellStart"/>
      <w:r w:rsidRPr="0022331B">
        <w:rPr>
          <w:sz w:val="24"/>
          <w:szCs w:val="24"/>
        </w:rPr>
        <w:t>honor</w:t>
      </w:r>
      <w:proofErr w:type="spellEnd"/>
      <w:r w:rsidRPr="0022331B">
        <w:rPr>
          <w:sz w:val="24"/>
          <w:szCs w:val="24"/>
        </w:rPr>
        <w:t xml:space="preserve"> among Baha’is, and a blessing, since </w:t>
      </w:r>
      <w:proofErr w:type="gramStart"/>
      <w:r w:rsidRPr="0022331B">
        <w:rPr>
          <w:sz w:val="24"/>
          <w:szCs w:val="24"/>
        </w:rPr>
        <w:t>all of</w:t>
      </w:r>
      <w:proofErr w:type="gramEnd"/>
      <w:r w:rsidRPr="0022331B">
        <w:rPr>
          <w:sz w:val="24"/>
          <w:szCs w:val="24"/>
        </w:rPr>
        <w:t xml:space="preserve"> the writings of Baha’u’llah were considered sacred scripture by the Baha’is (and still are).  In the message, Baha’u’llah laments that earthy treasures have corrupted most people and caused them to turn away from God.  He urges Ghulam-‘Ali not to grieve over the sorrows that come to him in this world.  The Tablet begins:</w:t>
      </w:r>
    </w:p>
    <w:p w14:paraId="4BA2A254" w14:textId="77777777" w:rsidR="00075AC3" w:rsidRPr="0022331B" w:rsidRDefault="00075AC3" w:rsidP="00BD6331">
      <w:pPr>
        <w:pStyle w:val="Quote"/>
        <w:spacing w:line="300" w:lineRule="auto"/>
        <w:rPr>
          <w:sz w:val="24"/>
          <w:szCs w:val="24"/>
        </w:rPr>
      </w:pPr>
      <w:r w:rsidRPr="0022331B">
        <w:rPr>
          <w:sz w:val="24"/>
          <w:szCs w:val="24"/>
        </w:rPr>
        <w:t>He is the Witness, the All-Informed.</w:t>
      </w:r>
    </w:p>
    <w:p w14:paraId="393A488F" w14:textId="77777777" w:rsidR="00075AC3" w:rsidRPr="0022331B" w:rsidRDefault="0029228F" w:rsidP="00BD6331">
      <w:pPr>
        <w:pStyle w:val="Quote"/>
        <w:spacing w:line="300" w:lineRule="auto"/>
        <w:rPr>
          <w:sz w:val="24"/>
          <w:szCs w:val="24"/>
        </w:rPr>
      </w:pPr>
      <w:r w:rsidRPr="0022331B">
        <w:rPr>
          <w:sz w:val="24"/>
          <w:szCs w:val="24"/>
        </w:rPr>
        <w:t>…</w:t>
      </w:r>
      <w:r w:rsidR="00075AC3" w:rsidRPr="0022331B">
        <w:rPr>
          <w:sz w:val="24"/>
          <w:szCs w:val="24"/>
        </w:rPr>
        <w:t xml:space="preserve"> All created things bear witness to the revelation of the Creator of the heavens, and the concourse on high is stirred up by the sweetness of the celestial call, and yet the people, for the most part, perceive it not. </w:t>
      </w:r>
      <w:r w:rsidRPr="0022331B">
        <w:rPr>
          <w:sz w:val="24"/>
          <w:szCs w:val="24"/>
        </w:rPr>
        <w:t xml:space="preserve"> </w:t>
      </w:r>
      <w:r w:rsidR="00075AC3" w:rsidRPr="0022331B">
        <w:rPr>
          <w:sz w:val="24"/>
          <w:szCs w:val="24"/>
        </w:rPr>
        <w:t xml:space="preserve">Verily, the treasures they have laid up have drawn them far away from their ultimate goal, and vain imaginings have debarred them from turning towards God, the Help in Peril, the Self-Subsisting. </w:t>
      </w:r>
      <w:r w:rsidRPr="0022331B">
        <w:rPr>
          <w:sz w:val="24"/>
          <w:szCs w:val="24"/>
        </w:rPr>
        <w:t xml:space="preserve"> </w:t>
      </w:r>
      <w:r w:rsidR="00075AC3" w:rsidRPr="0022331B">
        <w:rPr>
          <w:sz w:val="24"/>
          <w:szCs w:val="24"/>
        </w:rPr>
        <w:t>They cast behind their backs the Book of God, cleaving fast unto their idols and idle fancies.</w:t>
      </w:r>
    </w:p>
    <w:p w14:paraId="0BFE59D6" w14:textId="77777777" w:rsidR="00075AC3" w:rsidRPr="0022331B" w:rsidRDefault="0029228F" w:rsidP="00BD6331">
      <w:pPr>
        <w:pStyle w:val="Quote"/>
        <w:spacing w:line="300" w:lineRule="auto"/>
        <w:rPr>
          <w:sz w:val="24"/>
          <w:szCs w:val="24"/>
        </w:rPr>
      </w:pPr>
      <w:r w:rsidRPr="0022331B">
        <w:rPr>
          <w:sz w:val="24"/>
          <w:szCs w:val="24"/>
        </w:rPr>
        <w:lastRenderedPageBreak/>
        <w:t>…</w:t>
      </w:r>
      <w:r w:rsidR="00075AC3" w:rsidRPr="0022331B">
        <w:rPr>
          <w:sz w:val="24"/>
          <w:szCs w:val="24"/>
        </w:rPr>
        <w:t xml:space="preserve"> In truth, </w:t>
      </w:r>
      <w:r w:rsidRPr="0022331B">
        <w:rPr>
          <w:sz w:val="24"/>
          <w:szCs w:val="24"/>
        </w:rPr>
        <w:t>t</w:t>
      </w:r>
      <w:r w:rsidR="00075AC3" w:rsidRPr="0022331B">
        <w:rPr>
          <w:sz w:val="24"/>
          <w:szCs w:val="24"/>
        </w:rPr>
        <w:t xml:space="preserve">hy name was mentioned before this Wronged One. </w:t>
      </w:r>
      <w:r w:rsidRPr="0022331B">
        <w:rPr>
          <w:sz w:val="24"/>
          <w:szCs w:val="24"/>
        </w:rPr>
        <w:t xml:space="preserve"> </w:t>
      </w:r>
      <w:r w:rsidR="00075AC3" w:rsidRPr="0022331B">
        <w:rPr>
          <w:sz w:val="24"/>
          <w:szCs w:val="24"/>
        </w:rPr>
        <w:t xml:space="preserve">Thereupon, the Ocean of utterance surged, the Countenance of the Ancient of days turned towards thee and revealed for thee that which </w:t>
      </w:r>
      <w:proofErr w:type="spellStart"/>
      <w:r w:rsidR="00075AC3" w:rsidRPr="0022331B">
        <w:rPr>
          <w:sz w:val="24"/>
          <w:szCs w:val="24"/>
        </w:rPr>
        <w:t>enraptureth</w:t>
      </w:r>
      <w:proofErr w:type="spellEnd"/>
      <w:r w:rsidR="00075AC3" w:rsidRPr="0022331B">
        <w:rPr>
          <w:sz w:val="24"/>
          <w:szCs w:val="24"/>
        </w:rPr>
        <w:t xml:space="preserve"> hearts and souls.  Grieve thou not over the changes and the chances of the world. </w:t>
      </w:r>
      <w:r w:rsidRPr="0022331B">
        <w:rPr>
          <w:sz w:val="24"/>
          <w:szCs w:val="24"/>
        </w:rPr>
        <w:t xml:space="preserve"> </w:t>
      </w:r>
      <w:r w:rsidR="00075AC3" w:rsidRPr="0022331B">
        <w:rPr>
          <w:sz w:val="24"/>
          <w:szCs w:val="24"/>
        </w:rPr>
        <w:t>In all thy affairs, put thy reliance in God, the Lord of the Promised Day.</w:t>
      </w:r>
      <w:r w:rsidR="00075AC3" w:rsidRPr="0022331B">
        <w:rPr>
          <w:rStyle w:val="FootnoteReference"/>
          <w:sz w:val="24"/>
          <w:szCs w:val="24"/>
        </w:rPr>
        <w:footnoteReference w:id="26"/>
      </w:r>
    </w:p>
    <w:p w14:paraId="37C92FF3" w14:textId="77777777" w:rsidR="00075AC3" w:rsidRPr="0022331B" w:rsidRDefault="00075AC3" w:rsidP="00BD6331">
      <w:pPr>
        <w:pStyle w:val="Text"/>
        <w:spacing w:line="300" w:lineRule="auto"/>
        <w:rPr>
          <w:sz w:val="24"/>
          <w:szCs w:val="24"/>
        </w:rPr>
      </w:pPr>
      <w:r w:rsidRPr="0022331B">
        <w:rPr>
          <w:sz w:val="24"/>
          <w:szCs w:val="24"/>
        </w:rPr>
        <w:t xml:space="preserve">The admonition not to grieve over the changes and chances of the world, as well as remarks about the waywardness and materialism of most people, certainly reflect general Baha’i teachings of detachment and resignation in the face of adversity.  </w:t>
      </w:r>
      <w:r w:rsidR="0029228F" w:rsidRPr="0022331B">
        <w:rPr>
          <w:sz w:val="24"/>
          <w:szCs w:val="24"/>
        </w:rPr>
        <w:t>However,</w:t>
      </w:r>
      <w:r w:rsidRPr="0022331B">
        <w:rPr>
          <w:sz w:val="24"/>
          <w:szCs w:val="24"/>
        </w:rPr>
        <w:t xml:space="preserve"> in the specific case of Ghulam-‘Ali, Baha’u’llah’s words seem to suggest that his life in Yazd had encountered some difficulties about which he remained in turmoil.  Again, disinheritance, family disputes, and religious persecution might be obvious references.  The Tablet continues with a prayer for steadfastness that Ghulam-‘Ali should say.</w:t>
      </w:r>
      <w:r w:rsidRPr="0022331B">
        <w:rPr>
          <w:rStyle w:val="FootnoteReference"/>
          <w:sz w:val="24"/>
          <w:szCs w:val="24"/>
        </w:rPr>
        <w:footnoteReference w:id="27"/>
      </w:r>
    </w:p>
    <w:p w14:paraId="3C414283" w14:textId="77777777" w:rsidR="00075AC3" w:rsidRPr="0022331B" w:rsidRDefault="00075AC3" w:rsidP="00BD6331">
      <w:pPr>
        <w:pStyle w:val="Heading2"/>
        <w:spacing w:line="300" w:lineRule="auto"/>
        <w:rPr>
          <w:sz w:val="28"/>
          <w:szCs w:val="28"/>
        </w:rPr>
      </w:pPr>
      <w:r w:rsidRPr="0022331B">
        <w:rPr>
          <w:sz w:val="28"/>
          <w:szCs w:val="28"/>
        </w:rPr>
        <w:t>Return to Yazd</w:t>
      </w:r>
    </w:p>
    <w:p w14:paraId="2EA16F23" w14:textId="77777777" w:rsidR="00075AC3" w:rsidRPr="0022331B" w:rsidRDefault="00075AC3" w:rsidP="00BD6331">
      <w:pPr>
        <w:pStyle w:val="Text"/>
        <w:spacing w:line="300" w:lineRule="auto"/>
        <w:rPr>
          <w:sz w:val="24"/>
          <w:szCs w:val="24"/>
        </w:rPr>
      </w:pPr>
      <w:r w:rsidRPr="0022331B">
        <w:rPr>
          <w:sz w:val="24"/>
          <w:szCs w:val="24"/>
        </w:rPr>
        <w:t xml:space="preserve">Ghulam-‘Ali did not return to Yazd immediately after his stay in the Holy Land.  He left Palestine for India.  He seems to have been well connected to Baha’i networks, at least in Palestine and in South Asia.  He worked as an agent of the previously mentioned Haji Mirza Muhammad Afshar, the Baha’i in Yazd, for his trading company in India.  He was able to accumulate some capital and eventually established a business of his own in Bandar Abbas, apparently importing and exporting goods between India and Yazd.  </w:t>
      </w:r>
      <w:proofErr w:type="spellStart"/>
      <w:r w:rsidR="0029228F" w:rsidRPr="0022331B">
        <w:rPr>
          <w:sz w:val="24"/>
          <w:szCs w:val="24"/>
        </w:rPr>
        <w:t>Some time</w:t>
      </w:r>
      <w:proofErr w:type="spellEnd"/>
      <w:r w:rsidR="0029228F" w:rsidRPr="0022331B">
        <w:rPr>
          <w:sz w:val="24"/>
          <w:szCs w:val="24"/>
        </w:rPr>
        <w:t xml:space="preserve"> late</w:t>
      </w:r>
      <w:r w:rsidR="00F76449" w:rsidRPr="0022331B">
        <w:rPr>
          <w:sz w:val="24"/>
          <w:szCs w:val="24"/>
        </w:rPr>
        <w:t>r</w:t>
      </w:r>
      <w:r w:rsidR="0029228F" w:rsidRPr="0022331B">
        <w:rPr>
          <w:sz w:val="24"/>
          <w:szCs w:val="24"/>
        </w:rPr>
        <w:t xml:space="preserve"> w</w:t>
      </w:r>
      <w:r w:rsidRPr="0022331B">
        <w:rPr>
          <w:sz w:val="24"/>
          <w:szCs w:val="24"/>
        </w:rPr>
        <w:t xml:space="preserve">hen he returned to Yazd, he brought </w:t>
      </w:r>
      <w:proofErr w:type="spellStart"/>
      <w:r w:rsidRPr="0022331B">
        <w:rPr>
          <w:sz w:val="24"/>
          <w:szCs w:val="24"/>
        </w:rPr>
        <w:t>Ziba</w:t>
      </w:r>
      <w:proofErr w:type="spellEnd"/>
      <w:r w:rsidRPr="0022331B">
        <w:rPr>
          <w:sz w:val="24"/>
          <w:szCs w:val="24"/>
        </w:rPr>
        <w:t xml:space="preserve"> Khanum into his home, where she lived as his dependent.  He was very rich; family lore has it that he returned to Yazd with 40 camels loaded with valuables, merchandise and household goods.</w:t>
      </w:r>
      <w:r w:rsidRPr="0022331B">
        <w:rPr>
          <w:rStyle w:val="FootnoteReference"/>
          <w:sz w:val="24"/>
          <w:szCs w:val="24"/>
        </w:rPr>
        <w:footnoteReference w:id="28"/>
      </w:r>
      <w:r w:rsidRPr="0022331B">
        <w:rPr>
          <w:sz w:val="24"/>
          <w:szCs w:val="24"/>
        </w:rPr>
        <w:t xml:space="preserve">  He was able to buy land and build a great house where he lived with his mother, his wife, his children and his grandchildren.  By the end of his life, he was the largest landowner in the city and extremely influential in politics and business affairs.  It seems that he also acquired three slaves of his own, or at least three African women who lived in his house as dependents and were known as </w:t>
      </w:r>
      <w:proofErr w:type="spellStart"/>
      <w:r w:rsidRPr="0022331B">
        <w:rPr>
          <w:i/>
          <w:sz w:val="24"/>
          <w:szCs w:val="24"/>
        </w:rPr>
        <w:t>kaniz</w:t>
      </w:r>
      <w:proofErr w:type="spellEnd"/>
      <w:r w:rsidRPr="0022331B">
        <w:rPr>
          <w:sz w:val="24"/>
          <w:szCs w:val="24"/>
        </w:rPr>
        <w:t xml:space="preserve"> (enslaved women)—</w:t>
      </w:r>
      <w:proofErr w:type="spellStart"/>
      <w:r w:rsidRPr="0022331B">
        <w:rPr>
          <w:sz w:val="24"/>
          <w:szCs w:val="24"/>
        </w:rPr>
        <w:t>Fezzeh</w:t>
      </w:r>
      <w:proofErr w:type="spellEnd"/>
      <w:r w:rsidRPr="0022331B">
        <w:rPr>
          <w:sz w:val="24"/>
          <w:szCs w:val="24"/>
        </w:rPr>
        <w:t xml:space="preserve"> (silver), </w:t>
      </w:r>
      <w:proofErr w:type="spellStart"/>
      <w:r w:rsidRPr="0022331B">
        <w:rPr>
          <w:sz w:val="24"/>
          <w:szCs w:val="24"/>
        </w:rPr>
        <w:t>Zaffaron</w:t>
      </w:r>
      <w:proofErr w:type="spellEnd"/>
      <w:r w:rsidRPr="0022331B">
        <w:rPr>
          <w:sz w:val="24"/>
          <w:szCs w:val="24"/>
        </w:rPr>
        <w:t xml:space="preserve"> (saffron), and Shireen (sweet).</w:t>
      </w:r>
      <w:r w:rsidR="00F76449" w:rsidRPr="0022331B">
        <w:rPr>
          <w:rStyle w:val="FootnoteReference"/>
          <w:sz w:val="24"/>
          <w:szCs w:val="24"/>
        </w:rPr>
        <w:footnoteReference w:id="29"/>
      </w:r>
    </w:p>
    <w:p w14:paraId="02315980" w14:textId="77777777" w:rsidR="00075AC3" w:rsidRPr="0022331B" w:rsidRDefault="005C435D" w:rsidP="00BD6331">
      <w:pPr>
        <w:spacing w:line="300" w:lineRule="auto"/>
        <w:jc w:val="center"/>
        <w:rPr>
          <w:sz w:val="24"/>
          <w:szCs w:val="24"/>
        </w:rPr>
      </w:pPr>
      <w:r w:rsidRPr="0022331B">
        <w:rPr>
          <w:noProof/>
          <w:sz w:val="24"/>
          <w:szCs w:val="24"/>
          <w:lang w:val="en-IN" w:eastAsia="en-IN"/>
          <w14:numForm w14:val="default"/>
          <w14:numSpacing w14:val="default"/>
        </w:rPr>
        <w:lastRenderedPageBreak/>
        <w:drawing>
          <wp:inline distT="0" distB="0" distL="0" distR="0" wp14:anchorId="29132036" wp14:editId="5DC7876A">
            <wp:extent cx="5523807" cy="419792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1940.tif"/>
                    <pic:cNvPicPr/>
                  </pic:nvPicPr>
                  <pic:blipFill>
                    <a:blip r:embed="rId8">
                      <a:extLst>
                        <a:ext uri="{28A0092B-C50C-407E-A947-70E740481C1C}">
                          <a14:useLocalDpi xmlns:a14="http://schemas.microsoft.com/office/drawing/2010/main" val="0"/>
                        </a:ext>
                      </a:extLst>
                    </a:blip>
                    <a:stretch>
                      <a:fillRect/>
                    </a:stretch>
                  </pic:blipFill>
                  <pic:spPr>
                    <a:xfrm>
                      <a:off x="0" y="0"/>
                      <a:ext cx="5523807" cy="4197927"/>
                    </a:xfrm>
                    <a:prstGeom prst="rect">
                      <a:avLst/>
                    </a:prstGeom>
                  </pic:spPr>
                </pic:pic>
              </a:graphicData>
            </a:graphic>
          </wp:inline>
        </w:drawing>
      </w:r>
    </w:p>
    <w:p w14:paraId="3A43376D" w14:textId="77777777" w:rsidR="00075AC3" w:rsidRPr="0022331B" w:rsidRDefault="00075AC3" w:rsidP="00BD6331">
      <w:pPr>
        <w:spacing w:line="300" w:lineRule="auto"/>
        <w:ind w:left="180" w:right="270"/>
        <w:jc w:val="center"/>
        <w:rPr>
          <w:sz w:val="24"/>
          <w:szCs w:val="24"/>
        </w:rPr>
      </w:pPr>
      <w:r w:rsidRPr="0022331B">
        <w:rPr>
          <w:sz w:val="24"/>
          <w:szCs w:val="28"/>
        </w:rPr>
        <w:t xml:space="preserve">Ghulam-‘Ali Siyah Khurasani with his wife, </w:t>
      </w:r>
      <w:proofErr w:type="spellStart"/>
      <w:r w:rsidRPr="0022331B">
        <w:rPr>
          <w:sz w:val="24"/>
          <w:szCs w:val="28"/>
        </w:rPr>
        <w:t>Munavvar</w:t>
      </w:r>
      <w:proofErr w:type="spellEnd"/>
      <w:r w:rsidRPr="0022331B">
        <w:rPr>
          <w:sz w:val="24"/>
          <w:szCs w:val="28"/>
        </w:rPr>
        <w:t xml:space="preserve"> Khanum (</w:t>
      </w:r>
      <w:proofErr w:type="spellStart"/>
      <w:r w:rsidRPr="0022331B">
        <w:rPr>
          <w:sz w:val="24"/>
          <w:szCs w:val="28"/>
        </w:rPr>
        <w:t>center</w:t>
      </w:r>
      <w:proofErr w:type="spellEnd"/>
      <w:r w:rsidRPr="0022331B">
        <w:rPr>
          <w:sz w:val="24"/>
          <w:szCs w:val="28"/>
        </w:rPr>
        <w:t>, front), their children, and grandchildren in their home in Yazd, taken September 1940.</w:t>
      </w:r>
    </w:p>
    <w:p w14:paraId="3FB225B8" w14:textId="77777777" w:rsidR="00075AC3" w:rsidRPr="0022331B" w:rsidRDefault="00075AC3" w:rsidP="00BD6331">
      <w:pPr>
        <w:spacing w:before="120" w:line="300" w:lineRule="auto"/>
        <w:ind w:left="181" w:right="272"/>
        <w:jc w:val="both"/>
        <w:rPr>
          <w:sz w:val="24"/>
          <w:szCs w:val="24"/>
        </w:rPr>
      </w:pPr>
      <w:r w:rsidRPr="0022331B">
        <w:rPr>
          <w:sz w:val="24"/>
          <w:szCs w:val="24"/>
        </w:rPr>
        <w:t>Back row (l. to r.):</w:t>
      </w:r>
      <w:r w:rsidR="00537539" w:rsidRPr="0022331B">
        <w:rPr>
          <w:sz w:val="24"/>
          <w:szCs w:val="24"/>
        </w:rPr>
        <w:t xml:space="preserve"> </w:t>
      </w:r>
      <w:r w:rsidRPr="0022331B">
        <w:rPr>
          <w:sz w:val="24"/>
          <w:szCs w:val="24"/>
        </w:rPr>
        <w:t xml:space="preserve"> Iraj </w:t>
      </w:r>
      <w:proofErr w:type="spellStart"/>
      <w:r w:rsidRPr="0022331B">
        <w:rPr>
          <w:sz w:val="24"/>
          <w:szCs w:val="24"/>
        </w:rPr>
        <w:t>Turkzadih</w:t>
      </w:r>
      <w:proofErr w:type="spellEnd"/>
      <w:r w:rsidRPr="0022331B">
        <w:rPr>
          <w:sz w:val="24"/>
          <w:szCs w:val="24"/>
        </w:rPr>
        <w:t xml:space="preserve">, </w:t>
      </w:r>
      <w:proofErr w:type="spellStart"/>
      <w:r w:rsidRPr="0022331B">
        <w:rPr>
          <w:sz w:val="24"/>
          <w:szCs w:val="24"/>
        </w:rPr>
        <w:t>Paridukht</w:t>
      </w:r>
      <w:proofErr w:type="spellEnd"/>
      <w:r w:rsidRPr="0022331B">
        <w:rPr>
          <w:sz w:val="24"/>
          <w:szCs w:val="24"/>
        </w:rPr>
        <w:t xml:space="preserve"> </w:t>
      </w:r>
      <w:proofErr w:type="spellStart"/>
      <w:r w:rsidRPr="0022331B">
        <w:rPr>
          <w:sz w:val="24"/>
          <w:szCs w:val="24"/>
        </w:rPr>
        <w:t>Haqiqat</w:t>
      </w:r>
      <w:proofErr w:type="spellEnd"/>
      <w:r w:rsidRPr="0022331B">
        <w:rPr>
          <w:sz w:val="24"/>
          <w:szCs w:val="24"/>
        </w:rPr>
        <w:t xml:space="preserve">, Iran </w:t>
      </w:r>
      <w:proofErr w:type="spellStart"/>
      <w:r w:rsidRPr="0022331B">
        <w:rPr>
          <w:sz w:val="24"/>
          <w:szCs w:val="24"/>
        </w:rPr>
        <w:t>Haqiqat</w:t>
      </w:r>
      <w:proofErr w:type="spellEnd"/>
      <w:r w:rsidRPr="0022331B">
        <w:rPr>
          <w:sz w:val="24"/>
          <w:szCs w:val="24"/>
        </w:rPr>
        <w:t xml:space="preserve">, Parvin </w:t>
      </w:r>
      <w:proofErr w:type="spellStart"/>
      <w:r w:rsidRPr="0022331B">
        <w:rPr>
          <w:sz w:val="24"/>
          <w:szCs w:val="24"/>
        </w:rPr>
        <w:t>Haqiqat</w:t>
      </w:r>
      <w:proofErr w:type="spellEnd"/>
      <w:r w:rsidRPr="0022331B">
        <w:rPr>
          <w:sz w:val="24"/>
          <w:szCs w:val="24"/>
        </w:rPr>
        <w:t xml:space="preserve">, </w:t>
      </w:r>
      <w:proofErr w:type="spellStart"/>
      <w:r w:rsidRPr="0022331B">
        <w:rPr>
          <w:sz w:val="24"/>
          <w:szCs w:val="24"/>
        </w:rPr>
        <w:t>Hushang</w:t>
      </w:r>
      <w:proofErr w:type="spellEnd"/>
      <w:r w:rsidRPr="0022331B">
        <w:rPr>
          <w:sz w:val="24"/>
          <w:szCs w:val="24"/>
        </w:rPr>
        <w:t xml:space="preserve"> </w:t>
      </w:r>
      <w:proofErr w:type="spellStart"/>
      <w:r w:rsidRPr="0022331B">
        <w:rPr>
          <w:sz w:val="24"/>
          <w:szCs w:val="24"/>
        </w:rPr>
        <w:t>Khurasani</w:t>
      </w:r>
      <w:proofErr w:type="spellEnd"/>
      <w:r w:rsidRPr="0022331B">
        <w:rPr>
          <w:sz w:val="24"/>
          <w:szCs w:val="24"/>
        </w:rPr>
        <w:t xml:space="preserve">, Jalal </w:t>
      </w:r>
      <w:proofErr w:type="spellStart"/>
      <w:r w:rsidRPr="0022331B">
        <w:rPr>
          <w:sz w:val="24"/>
          <w:szCs w:val="24"/>
        </w:rPr>
        <w:t>Taqizadih</w:t>
      </w:r>
      <w:proofErr w:type="spellEnd"/>
      <w:r w:rsidRPr="0022331B">
        <w:rPr>
          <w:sz w:val="24"/>
          <w:szCs w:val="24"/>
        </w:rPr>
        <w:t xml:space="preserve">, Muhammad </w:t>
      </w:r>
      <w:proofErr w:type="spellStart"/>
      <w:r w:rsidRPr="0022331B">
        <w:rPr>
          <w:sz w:val="24"/>
          <w:szCs w:val="24"/>
        </w:rPr>
        <w:t>Khurasani</w:t>
      </w:r>
      <w:proofErr w:type="spellEnd"/>
      <w:r w:rsidRPr="0022331B">
        <w:rPr>
          <w:sz w:val="24"/>
          <w:szCs w:val="24"/>
        </w:rPr>
        <w:t xml:space="preserve">, </w:t>
      </w:r>
      <w:proofErr w:type="spellStart"/>
      <w:r w:rsidRPr="0022331B">
        <w:rPr>
          <w:sz w:val="24"/>
          <w:szCs w:val="24"/>
        </w:rPr>
        <w:t>Furugh</w:t>
      </w:r>
      <w:proofErr w:type="spellEnd"/>
      <w:r w:rsidRPr="0022331B">
        <w:rPr>
          <w:sz w:val="24"/>
          <w:szCs w:val="24"/>
        </w:rPr>
        <w:t xml:space="preserve"> </w:t>
      </w:r>
      <w:proofErr w:type="spellStart"/>
      <w:r w:rsidRPr="0022331B">
        <w:rPr>
          <w:sz w:val="24"/>
          <w:szCs w:val="24"/>
        </w:rPr>
        <w:t>Taqizadih</w:t>
      </w:r>
      <w:proofErr w:type="spellEnd"/>
      <w:r w:rsidRPr="0022331B">
        <w:rPr>
          <w:sz w:val="24"/>
          <w:szCs w:val="24"/>
        </w:rPr>
        <w:t xml:space="preserve">, </w:t>
      </w:r>
      <w:proofErr w:type="spellStart"/>
      <w:r w:rsidRPr="0022331B">
        <w:rPr>
          <w:sz w:val="24"/>
          <w:szCs w:val="24"/>
        </w:rPr>
        <w:t>Turan</w:t>
      </w:r>
      <w:proofErr w:type="spellEnd"/>
      <w:r w:rsidRPr="0022331B">
        <w:rPr>
          <w:sz w:val="24"/>
          <w:szCs w:val="24"/>
        </w:rPr>
        <w:t xml:space="preserve"> </w:t>
      </w:r>
      <w:proofErr w:type="spellStart"/>
      <w:r w:rsidRPr="0022331B">
        <w:rPr>
          <w:sz w:val="24"/>
          <w:szCs w:val="24"/>
        </w:rPr>
        <w:t>Turkzadih</w:t>
      </w:r>
      <w:proofErr w:type="spellEnd"/>
      <w:r w:rsidRPr="0022331B">
        <w:rPr>
          <w:sz w:val="24"/>
          <w:szCs w:val="24"/>
        </w:rPr>
        <w:t xml:space="preserve">, </w:t>
      </w:r>
      <w:proofErr w:type="spellStart"/>
      <w:r w:rsidRPr="0022331B">
        <w:rPr>
          <w:sz w:val="24"/>
          <w:szCs w:val="24"/>
        </w:rPr>
        <w:t>Afaq</w:t>
      </w:r>
      <w:proofErr w:type="spellEnd"/>
      <w:r w:rsidRPr="0022331B">
        <w:rPr>
          <w:sz w:val="24"/>
          <w:szCs w:val="24"/>
        </w:rPr>
        <w:t xml:space="preserve"> </w:t>
      </w:r>
      <w:proofErr w:type="spellStart"/>
      <w:r w:rsidRPr="0022331B">
        <w:rPr>
          <w:sz w:val="24"/>
          <w:szCs w:val="24"/>
        </w:rPr>
        <w:t>Taqizadih</w:t>
      </w:r>
      <w:proofErr w:type="spellEnd"/>
      <w:r w:rsidRPr="0022331B">
        <w:rPr>
          <w:sz w:val="24"/>
          <w:szCs w:val="24"/>
        </w:rPr>
        <w:t>.</w:t>
      </w:r>
      <w:r w:rsidR="00537539" w:rsidRPr="0022331B">
        <w:rPr>
          <w:sz w:val="24"/>
          <w:szCs w:val="24"/>
        </w:rPr>
        <w:t xml:space="preserve"> </w:t>
      </w:r>
      <w:r w:rsidRPr="0022331B">
        <w:rPr>
          <w:sz w:val="24"/>
          <w:szCs w:val="24"/>
        </w:rPr>
        <w:t xml:space="preserve"> Front row (adults, l. to r.): </w:t>
      </w:r>
      <w:r w:rsidR="00537539" w:rsidRPr="0022331B">
        <w:rPr>
          <w:sz w:val="24"/>
          <w:szCs w:val="24"/>
        </w:rPr>
        <w:t xml:space="preserve"> </w:t>
      </w:r>
      <w:r w:rsidRPr="0022331B">
        <w:rPr>
          <w:sz w:val="24"/>
          <w:szCs w:val="24"/>
        </w:rPr>
        <w:t xml:space="preserve">Shamsi </w:t>
      </w:r>
      <w:proofErr w:type="spellStart"/>
      <w:r w:rsidRPr="0022331B">
        <w:rPr>
          <w:sz w:val="24"/>
          <w:szCs w:val="24"/>
        </w:rPr>
        <w:t>Khurasani</w:t>
      </w:r>
      <w:proofErr w:type="spellEnd"/>
      <w:r w:rsidRPr="0022331B">
        <w:rPr>
          <w:sz w:val="24"/>
          <w:szCs w:val="24"/>
        </w:rPr>
        <w:t xml:space="preserve"> </w:t>
      </w:r>
      <w:proofErr w:type="spellStart"/>
      <w:r w:rsidRPr="0022331B">
        <w:rPr>
          <w:sz w:val="24"/>
          <w:szCs w:val="24"/>
        </w:rPr>
        <w:t>Tadayuni</w:t>
      </w:r>
      <w:proofErr w:type="spellEnd"/>
      <w:r w:rsidRPr="0022331B">
        <w:rPr>
          <w:sz w:val="24"/>
          <w:szCs w:val="24"/>
        </w:rPr>
        <w:t xml:space="preserve">, Nusrat </w:t>
      </w:r>
      <w:proofErr w:type="spellStart"/>
      <w:r w:rsidRPr="0022331B">
        <w:rPr>
          <w:sz w:val="24"/>
          <w:szCs w:val="24"/>
        </w:rPr>
        <w:t>Khurasani</w:t>
      </w:r>
      <w:proofErr w:type="spellEnd"/>
      <w:r w:rsidRPr="0022331B">
        <w:rPr>
          <w:sz w:val="24"/>
          <w:szCs w:val="24"/>
        </w:rPr>
        <w:t xml:space="preserve"> </w:t>
      </w:r>
      <w:proofErr w:type="spellStart"/>
      <w:r w:rsidRPr="0022331B">
        <w:rPr>
          <w:sz w:val="24"/>
          <w:szCs w:val="24"/>
        </w:rPr>
        <w:t>Turkzadih</w:t>
      </w:r>
      <w:proofErr w:type="spellEnd"/>
      <w:r w:rsidRPr="0022331B">
        <w:rPr>
          <w:sz w:val="24"/>
          <w:szCs w:val="24"/>
        </w:rPr>
        <w:t xml:space="preserve">, Suraya </w:t>
      </w:r>
      <w:proofErr w:type="spellStart"/>
      <w:r w:rsidRPr="0022331B">
        <w:rPr>
          <w:sz w:val="24"/>
          <w:szCs w:val="24"/>
        </w:rPr>
        <w:t>Khurasani</w:t>
      </w:r>
      <w:proofErr w:type="spellEnd"/>
      <w:r w:rsidRPr="0022331B">
        <w:rPr>
          <w:sz w:val="24"/>
          <w:szCs w:val="24"/>
        </w:rPr>
        <w:t xml:space="preserve"> </w:t>
      </w:r>
      <w:proofErr w:type="spellStart"/>
      <w:r w:rsidRPr="0022331B">
        <w:rPr>
          <w:sz w:val="24"/>
          <w:szCs w:val="24"/>
        </w:rPr>
        <w:t>Haqiqat</w:t>
      </w:r>
      <w:proofErr w:type="spellEnd"/>
      <w:r w:rsidRPr="0022331B">
        <w:rPr>
          <w:sz w:val="24"/>
          <w:szCs w:val="24"/>
        </w:rPr>
        <w:t xml:space="preserve">, </w:t>
      </w:r>
      <w:proofErr w:type="spellStart"/>
      <w:r w:rsidRPr="0022331B">
        <w:rPr>
          <w:sz w:val="24"/>
          <w:szCs w:val="24"/>
        </w:rPr>
        <w:t>Munavvar</w:t>
      </w:r>
      <w:proofErr w:type="spellEnd"/>
      <w:r w:rsidRPr="0022331B">
        <w:rPr>
          <w:sz w:val="24"/>
          <w:szCs w:val="24"/>
        </w:rPr>
        <w:t xml:space="preserve"> </w:t>
      </w:r>
      <w:proofErr w:type="spellStart"/>
      <w:r w:rsidRPr="0022331B">
        <w:rPr>
          <w:sz w:val="24"/>
          <w:szCs w:val="24"/>
        </w:rPr>
        <w:t>Khurasani</w:t>
      </w:r>
      <w:proofErr w:type="spellEnd"/>
      <w:r w:rsidRPr="0022331B">
        <w:rPr>
          <w:sz w:val="24"/>
          <w:szCs w:val="24"/>
        </w:rPr>
        <w:t>, Ghulam</w:t>
      </w:r>
      <w:proofErr w:type="gramStart"/>
      <w:r w:rsidRPr="0022331B">
        <w:rPr>
          <w:sz w:val="24"/>
          <w:szCs w:val="24"/>
        </w:rPr>
        <w:t>-‘</w:t>
      </w:r>
      <w:proofErr w:type="gramEnd"/>
      <w:r w:rsidRPr="0022331B">
        <w:rPr>
          <w:sz w:val="24"/>
          <w:szCs w:val="24"/>
        </w:rPr>
        <w:t xml:space="preserve">Ali </w:t>
      </w:r>
      <w:proofErr w:type="spellStart"/>
      <w:r w:rsidRPr="0022331B">
        <w:rPr>
          <w:sz w:val="24"/>
          <w:szCs w:val="24"/>
        </w:rPr>
        <w:t>Khurasani</w:t>
      </w:r>
      <w:proofErr w:type="spellEnd"/>
      <w:r w:rsidRPr="0022331B">
        <w:rPr>
          <w:sz w:val="24"/>
          <w:szCs w:val="24"/>
        </w:rPr>
        <w:t xml:space="preserve">, </w:t>
      </w:r>
      <w:proofErr w:type="spellStart"/>
      <w:r w:rsidRPr="0022331B">
        <w:rPr>
          <w:sz w:val="24"/>
          <w:szCs w:val="24"/>
        </w:rPr>
        <w:t>Malikih</w:t>
      </w:r>
      <w:proofErr w:type="spellEnd"/>
      <w:r w:rsidRPr="0022331B">
        <w:rPr>
          <w:sz w:val="24"/>
          <w:szCs w:val="24"/>
        </w:rPr>
        <w:t xml:space="preserve"> </w:t>
      </w:r>
      <w:proofErr w:type="spellStart"/>
      <w:r w:rsidRPr="0022331B">
        <w:rPr>
          <w:sz w:val="24"/>
          <w:szCs w:val="24"/>
        </w:rPr>
        <w:t>Khurasani</w:t>
      </w:r>
      <w:proofErr w:type="spellEnd"/>
      <w:r w:rsidRPr="0022331B">
        <w:rPr>
          <w:sz w:val="24"/>
          <w:szCs w:val="24"/>
        </w:rPr>
        <w:t xml:space="preserve"> </w:t>
      </w:r>
      <w:proofErr w:type="spellStart"/>
      <w:r w:rsidRPr="0022331B">
        <w:rPr>
          <w:sz w:val="24"/>
          <w:szCs w:val="24"/>
        </w:rPr>
        <w:t>Taqizadih</w:t>
      </w:r>
      <w:proofErr w:type="spellEnd"/>
      <w:r w:rsidRPr="0022331B">
        <w:rPr>
          <w:sz w:val="24"/>
          <w:szCs w:val="24"/>
        </w:rPr>
        <w:t xml:space="preserve">, </w:t>
      </w:r>
      <w:proofErr w:type="spellStart"/>
      <w:r w:rsidRPr="0022331B">
        <w:rPr>
          <w:sz w:val="24"/>
          <w:szCs w:val="24"/>
        </w:rPr>
        <w:t>Muluk</w:t>
      </w:r>
      <w:proofErr w:type="spellEnd"/>
      <w:r w:rsidRPr="0022331B">
        <w:rPr>
          <w:sz w:val="24"/>
          <w:szCs w:val="24"/>
        </w:rPr>
        <w:t xml:space="preserve"> </w:t>
      </w:r>
      <w:proofErr w:type="spellStart"/>
      <w:r w:rsidRPr="0022331B">
        <w:rPr>
          <w:sz w:val="24"/>
          <w:szCs w:val="24"/>
        </w:rPr>
        <w:t>Khurasani</w:t>
      </w:r>
      <w:proofErr w:type="spellEnd"/>
      <w:r w:rsidRPr="0022331B">
        <w:rPr>
          <w:sz w:val="24"/>
          <w:szCs w:val="24"/>
        </w:rPr>
        <w:t xml:space="preserve"> </w:t>
      </w:r>
      <w:proofErr w:type="spellStart"/>
      <w:r w:rsidRPr="0022331B">
        <w:rPr>
          <w:sz w:val="24"/>
          <w:szCs w:val="24"/>
        </w:rPr>
        <w:t>Sarraf</w:t>
      </w:r>
      <w:proofErr w:type="spellEnd"/>
      <w:r w:rsidRPr="0022331B">
        <w:rPr>
          <w:sz w:val="24"/>
          <w:szCs w:val="24"/>
        </w:rPr>
        <w:t xml:space="preserve">, Safa </w:t>
      </w:r>
      <w:proofErr w:type="spellStart"/>
      <w:r w:rsidRPr="0022331B">
        <w:rPr>
          <w:sz w:val="24"/>
          <w:szCs w:val="24"/>
        </w:rPr>
        <w:t>khurasani</w:t>
      </w:r>
      <w:proofErr w:type="spellEnd"/>
      <w:r w:rsidRPr="0022331B">
        <w:rPr>
          <w:sz w:val="24"/>
          <w:szCs w:val="24"/>
        </w:rPr>
        <w:t xml:space="preserve"> (a relative).  Front row (children, l. to r.): </w:t>
      </w:r>
      <w:r w:rsidR="00537539" w:rsidRPr="0022331B">
        <w:rPr>
          <w:sz w:val="24"/>
          <w:szCs w:val="24"/>
        </w:rPr>
        <w:t xml:space="preserve"> </w:t>
      </w:r>
      <w:proofErr w:type="spellStart"/>
      <w:r w:rsidRPr="0022331B">
        <w:rPr>
          <w:sz w:val="24"/>
          <w:szCs w:val="24"/>
        </w:rPr>
        <w:t>Arassa</w:t>
      </w:r>
      <w:proofErr w:type="spellEnd"/>
      <w:r w:rsidRPr="0022331B">
        <w:rPr>
          <w:sz w:val="24"/>
          <w:szCs w:val="24"/>
        </w:rPr>
        <w:t xml:space="preserve"> </w:t>
      </w:r>
      <w:proofErr w:type="spellStart"/>
      <w:r w:rsidRPr="0022331B">
        <w:rPr>
          <w:sz w:val="24"/>
          <w:szCs w:val="24"/>
        </w:rPr>
        <w:t>Khurasani</w:t>
      </w:r>
      <w:proofErr w:type="spellEnd"/>
      <w:r w:rsidRPr="0022331B">
        <w:rPr>
          <w:sz w:val="24"/>
          <w:szCs w:val="24"/>
        </w:rPr>
        <w:t xml:space="preserve">, Nasir </w:t>
      </w:r>
      <w:proofErr w:type="spellStart"/>
      <w:r w:rsidRPr="0022331B">
        <w:rPr>
          <w:sz w:val="24"/>
          <w:szCs w:val="24"/>
        </w:rPr>
        <w:t>Turkzadih</w:t>
      </w:r>
      <w:proofErr w:type="spellEnd"/>
      <w:r w:rsidRPr="0022331B">
        <w:rPr>
          <w:sz w:val="24"/>
          <w:szCs w:val="24"/>
        </w:rPr>
        <w:t xml:space="preserve">, </w:t>
      </w:r>
      <w:proofErr w:type="spellStart"/>
      <w:r w:rsidRPr="0022331B">
        <w:rPr>
          <w:sz w:val="24"/>
          <w:szCs w:val="24"/>
        </w:rPr>
        <w:t>Mahvash</w:t>
      </w:r>
      <w:proofErr w:type="spellEnd"/>
      <w:r w:rsidRPr="0022331B">
        <w:rPr>
          <w:sz w:val="24"/>
          <w:szCs w:val="24"/>
        </w:rPr>
        <w:t xml:space="preserve"> </w:t>
      </w:r>
      <w:proofErr w:type="spellStart"/>
      <w:r w:rsidRPr="0022331B">
        <w:rPr>
          <w:sz w:val="24"/>
          <w:szCs w:val="24"/>
        </w:rPr>
        <w:t>Taqizadeh</w:t>
      </w:r>
      <w:proofErr w:type="spellEnd"/>
      <w:r w:rsidRPr="0022331B">
        <w:rPr>
          <w:sz w:val="24"/>
          <w:szCs w:val="24"/>
        </w:rPr>
        <w:t xml:space="preserve">, </w:t>
      </w:r>
      <w:proofErr w:type="spellStart"/>
      <w:r w:rsidRPr="0022331B">
        <w:rPr>
          <w:sz w:val="24"/>
          <w:szCs w:val="24"/>
        </w:rPr>
        <w:t>Farhang</w:t>
      </w:r>
      <w:proofErr w:type="spellEnd"/>
      <w:r w:rsidRPr="0022331B">
        <w:rPr>
          <w:sz w:val="24"/>
          <w:szCs w:val="24"/>
        </w:rPr>
        <w:t xml:space="preserve"> </w:t>
      </w:r>
      <w:proofErr w:type="spellStart"/>
      <w:r w:rsidRPr="0022331B">
        <w:rPr>
          <w:sz w:val="24"/>
          <w:szCs w:val="24"/>
        </w:rPr>
        <w:t>Sarraf</w:t>
      </w:r>
      <w:proofErr w:type="spellEnd"/>
      <w:r w:rsidRPr="0022331B">
        <w:rPr>
          <w:sz w:val="24"/>
          <w:szCs w:val="24"/>
        </w:rPr>
        <w:t xml:space="preserve">, </w:t>
      </w:r>
      <w:proofErr w:type="spellStart"/>
      <w:r w:rsidRPr="0022331B">
        <w:rPr>
          <w:sz w:val="24"/>
          <w:szCs w:val="24"/>
        </w:rPr>
        <w:t>Mihrbanu</w:t>
      </w:r>
      <w:proofErr w:type="spellEnd"/>
      <w:r w:rsidRPr="0022331B">
        <w:rPr>
          <w:sz w:val="24"/>
          <w:szCs w:val="24"/>
        </w:rPr>
        <w:t xml:space="preserve"> </w:t>
      </w:r>
      <w:proofErr w:type="spellStart"/>
      <w:r w:rsidRPr="0022331B">
        <w:rPr>
          <w:sz w:val="24"/>
          <w:szCs w:val="24"/>
        </w:rPr>
        <w:t>Khurasani</w:t>
      </w:r>
      <w:proofErr w:type="spellEnd"/>
      <w:r w:rsidRPr="0022331B">
        <w:rPr>
          <w:sz w:val="24"/>
          <w:szCs w:val="24"/>
        </w:rPr>
        <w:t xml:space="preserve">.  Images identified by Monir </w:t>
      </w:r>
      <w:proofErr w:type="spellStart"/>
      <w:r w:rsidRPr="0022331B">
        <w:rPr>
          <w:sz w:val="24"/>
          <w:szCs w:val="24"/>
        </w:rPr>
        <w:t>Ardekani</w:t>
      </w:r>
      <w:proofErr w:type="spellEnd"/>
      <w:r w:rsidRPr="0022331B">
        <w:rPr>
          <w:sz w:val="24"/>
          <w:szCs w:val="24"/>
        </w:rPr>
        <w:t xml:space="preserve">. </w:t>
      </w:r>
      <w:r w:rsidR="00537539" w:rsidRPr="0022331B">
        <w:rPr>
          <w:sz w:val="24"/>
          <w:szCs w:val="24"/>
        </w:rPr>
        <w:t xml:space="preserve"> </w:t>
      </w:r>
      <w:r w:rsidRPr="0022331B">
        <w:rPr>
          <w:sz w:val="24"/>
          <w:szCs w:val="24"/>
        </w:rPr>
        <w:t>Note the two large and matching Persian carpets used as a backdrop, and as a display wealth.  (Source:</w:t>
      </w:r>
      <w:r w:rsidR="00537539" w:rsidRPr="0022331B">
        <w:rPr>
          <w:sz w:val="24"/>
          <w:szCs w:val="24"/>
        </w:rPr>
        <w:t xml:space="preserve"> </w:t>
      </w:r>
      <w:r w:rsidRPr="0022331B">
        <w:rPr>
          <w:sz w:val="24"/>
          <w:szCs w:val="24"/>
        </w:rPr>
        <w:t xml:space="preserve"> Khurasani family archives.  In private hands.)</w:t>
      </w:r>
    </w:p>
    <w:p w14:paraId="305DDB83" w14:textId="77777777" w:rsidR="00075AC3" w:rsidRPr="0022331B" w:rsidRDefault="00075AC3" w:rsidP="00BD6331">
      <w:pPr>
        <w:pStyle w:val="Text"/>
        <w:spacing w:line="300" w:lineRule="auto"/>
        <w:rPr>
          <w:sz w:val="24"/>
          <w:szCs w:val="24"/>
        </w:rPr>
      </w:pPr>
      <w:r w:rsidRPr="0022331B">
        <w:rPr>
          <w:sz w:val="24"/>
          <w:szCs w:val="24"/>
        </w:rPr>
        <w:t xml:space="preserve">Scholars of Iranian history have sometimes puzzled over what they regard as the almost complete disappearance of the African </w:t>
      </w:r>
      <w:r w:rsidR="00537539" w:rsidRPr="0022331B">
        <w:rPr>
          <w:sz w:val="24"/>
          <w:szCs w:val="24"/>
        </w:rPr>
        <w:t>d</w:t>
      </w:r>
      <w:r w:rsidRPr="0022331B">
        <w:rPr>
          <w:sz w:val="24"/>
          <w:szCs w:val="24"/>
        </w:rPr>
        <w:t>iaspora in Iran.</w:t>
      </w:r>
      <w:r w:rsidRPr="0022331B">
        <w:rPr>
          <w:rStyle w:val="FootnoteReference"/>
          <w:sz w:val="24"/>
          <w:szCs w:val="24"/>
        </w:rPr>
        <w:footnoteReference w:id="30"/>
      </w:r>
      <w:r w:rsidRPr="0022331B">
        <w:rPr>
          <w:sz w:val="24"/>
          <w:szCs w:val="24"/>
        </w:rPr>
        <w:t xml:space="preserve">  </w:t>
      </w:r>
      <w:proofErr w:type="spellStart"/>
      <w:r w:rsidRPr="0022331B">
        <w:rPr>
          <w:sz w:val="24"/>
          <w:szCs w:val="24"/>
        </w:rPr>
        <w:t>Ziba</w:t>
      </w:r>
      <w:proofErr w:type="spellEnd"/>
      <w:r w:rsidRPr="0022331B">
        <w:rPr>
          <w:sz w:val="24"/>
          <w:szCs w:val="24"/>
        </w:rPr>
        <w:t xml:space="preserve"> Khanum’s descendants demonstrate how fully Afro-Iranians were incorporated into Iranian society, especially among the wealthy classes, without regard to race.  All of Ghulam-‘Ali’s adult children married into well-to-do Iranian families, and their children are indistinguishable from other Iranians.  Moreover, none of Ghulam-‘Ali’s family make any attempt to hide their </w:t>
      </w:r>
      <w:r w:rsidRPr="0022331B">
        <w:rPr>
          <w:sz w:val="24"/>
          <w:szCs w:val="24"/>
        </w:rPr>
        <w:lastRenderedPageBreak/>
        <w:t xml:space="preserve">African descent, nor </w:t>
      </w:r>
      <w:proofErr w:type="spellStart"/>
      <w:r w:rsidRPr="0022331B">
        <w:rPr>
          <w:sz w:val="24"/>
          <w:szCs w:val="24"/>
        </w:rPr>
        <w:t>Ziba</w:t>
      </w:r>
      <w:proofErr w:type="spellEnd"/>
      <w:r w:rsidRPr="0022331B">
        <w:rPr>
          <w:sz w:val="24"/>
          <w:szCs w:val="24"/>
        </w:rPr>
        <w:t xml:space="preserve"> </w:t>
      </w:r>
      <w:proofErr w:type="spellStart"/>
      <w:r w:rsidRPr="0022331B">
        <w:rPr>
          <w:sz w:val="24"/>
          <w:szCs w:val="24"/>
        </w:rPr>
        <w:t>Khamum’s</w:t>
      </w:r>
      <w:proofErr w:type="spellEnd"/>
      <w:r w:rsidRPr="0022331B">
        <w:rPr>
          <w:sz w:val="24"/>
          <w:szCs w:val="24"/>
        </w:rPr>
        <w:t xml:space="preserve"> identity as an enslaved African woman.  Similarly, all of her master’s, Haji Muhammad-‘Ali’s, descendants, including the children and grandchildren of his Iranian wife, acknowledge </w:t>
      </w:r>
      <w:proofErr w:type="spellStart"/>
      <w:r w:rsidRPr="0022331B">
        <w:rPr>
          <w:sz w:val="24"/>
          <w:szCs w:val="24"/>
        </w:rPr>
        <w:t>Ziba</w:t>
      </w:r>
      <w:proofErr w:type="spellEnd"/>
      <w:r w:rsidRPr="0022331B">
        <w:rPr>
          <w:sz w:val="24"/>
          <w:szCs w:val="24"/>
        </w:rPr>
        <w:t xml:space="preserve"> Khanum as an ancestor.  A genealogy of the family, produced in Germany includes her and her descendants, who make up a large portion of the tableau.</w:t>
      </w:r>
    </w:p>
    <w:p w14:paraId="1BBAF800" w14:textId="77777777" w:rsidR="00075AC3" w:rsidRPr="0022331B" w:rsidRDefault="005C435D" w:rsidP="00BD6331">
      <w:pPr>
        <w:spacing w:line="300" w:lineRule="auto"/>
        <w:jc w:val="center"/>
        <w:rPr>
          <w:sz w:val="24"/>
          <w:szCs w:val="24"/>
        </w:rPr>
      </w:pPr>
      <w:r w:rsidRPr="0022331B">
        <w:rPr>
          <w:noProof/>
          <w:sz w:val="24"/>
          <w:szCs w:val="24"/>
          <w:lang w:val="en-IN" w:eastAsia="en-IN"/>
          <w14:numForm w14:val="default"/>
          <w14:numSpacing w14:val="default"/>
        </w:rPr>
        <w:drawing>
          <wp:inline distT="0" distB="0" distL="0" distR="0" wp14:anchorId="4AA2D881" wp14:editId="6458B563">
            <wp:extent cx="4418215" cy="4430684"/>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tree.tif"/>
                    <pic:cNvPicPr/>
                  </pic:nvPicPr>
                  <pic:blipFill>
                    <a:blip r:embed="rId9">
                      <a:extLst>
                        <a:ext uri="{28A0092B-C50C-407E-A947-70E740481C1C}">
                          <a14:useLocalDpi xmlns:a14="http://schemas.microsoft.com/office/drawing/2010/main" val="0"/>
                        </a:ext>
                      </a:extLst>
                    </a:blip>
                    <a:stretch>
                      <a:fillRect/>
                    </a:stretch>
                  </pic:blipFill>
                  <pic:spPr>
                    <a:xfrm>
                      <a:off x="0" y="0"/>
                      <a:ext cx="4418215" cy="4430684"/>
                    </a:xfrm>
                    <a:prstGeom prst="rect">
                      <a:avLst/>
                    </a:prstGeom>
                  </pic:spPr>
                </pic:pic>
              </a:graphicData>
            </a:graphic>
          </wp:inline>
        </w:drawing>
      </w:r>
    </w:p>
    <w:p w14:paraId="6EC8CF72" w14:textId="77777777" w:rsidR="00075AC3" w:rsidRPr="0022331B" w:rsidRDefault="00075AC3" w:rsidP="00BD6331">
      <w:pPr>
        <w:spacing w:line="300" w:lineRule="auto"/>
        <w:jc w:val="center"/>
        <w:rPr>
          <w:sz w:val="24"/>
          <w:szCs w:val="24"/>
        </w:rPr>
      </w:pPr>
      <w:r w:rsidRPr="0022331B">
        <w:rPr>
          <w:sz w:val="24"/>
          <w:szCs w:val="28"/>
        </w:rPr>
        <w:t xml:space="preserve">Detail of the </w:t>
      </w:r>
      <w:proofErr w:type="spellStart"/>
      <w:r w:rsidRPr="0022331B">
        <w:rPr>
          <w:sz w:val="24"/>
          <w:szCs w:val="28"/>
        </w:rPr>
        <w:t>Herati-Khorasani</w:t>
      </w:r>
      <w:proofErr w:type="spellEnd"/>
      <w:r w:rsidRPr="0022331B">
        <w:rPr>
          <w:sz w:val="24"/>
          <w:szCs w:val="28"/>
        </w:rPr>
        <w:t xml:space="preserve"> Family Tree</w:t>
      </w:r>
    </w:p>
    <w:p w14:paraId="28CB3224" w14:textId="77777777" w:rsidR="00075AC3" w:rsidRPr="0022331B" w:rsidRDefault="00075AC3" w:rsidP="00BD6331">
      <w:pPr>
        <w:spacing w:line="300" w:lineRule="auto"/>
        <w:jc w:val="center"/>
        <w:rPr>
          <w:sz w:val="24"/>
          <w:szCs w:val="24"/>
        </w:rPr>
      </w:pPr>
    </w:p>
    <w:p w14:paraId="164F4DF2" w14:textId="77777777" w:rsidR="00075AC3" w:rsidRPr="0022331B" w:rsidRDefault="00537539" w:rsidP="00BD6331">
      <w:pPr>
        <w:pStyle w:val="Text"/>
        <w:spacing w:line="300" w:lineRule="auto"/>
        <w:rPr>
          <w:sz w:val="24"/>
          <w:szCs w:val="24"/>
        </w:rPr>
      </w:pPr>
      <w:r w:rsidRPr="0022331B">
        <w:rPr>
          <w:sz w:val="24"/>
          <w:szCs w:val="28"/>
        </w:rPr>
        <w:t xml:space="preserve">The </w:t>
      </w:r>
      <w:proofErr w:type="spellStart"/>
      <w:r w:rsidRPr="0022331B">
        <w:rPr>
          <w:sz w:val="24"/>
          <w:szCs w:val="28"/>
        </w:rPr>
        <w:t>Herati-Khorasani</w:t>
      </w:r>
      <w:proofErr w:type="spellEnd"/>
      <w:r w:rsidRPr="0022331B">
        <w:rPr>
          <w:sz w:val="24"/>
          <w:szCs w:val="28"/>
        </w:rPr>
        <w:t xml:space="preserve"> family tree, </w:t>
      </w:r>
      <w:r w:rsidR="00075AC3" w:rsidRPr="0022331B">
        <w:rPr>
          <w:sz w:val="24"/>
          <w:szCs w:val="24"/>
        </w:rPr>
        <w:t xml:space="preserve">in German and Persian, </w:t>
      </w:r>
      <w:r w:rsidRPr="0022331B">
        <w:rPr>
          <w:sz w:val="24"/>
          <w:szCs w:val="24"/>
        </w:rPr>
        <w:t xml:space="preserve">was </w:t>
      </w:r>
      <w:r w:rsidR="00075AC3" w:rsidRPr="0022331B">
        <w:rPr>
          <w:sz w:val="24"/>
          <w:szCs w:val="24"/>
        </w:rPr>
        <w:t>drawn up recently in Germany by the descendants of Haji Muhammad</w:t>
      </w:r>
      <w:proofErr w:type="gramStart"/>
      <w:r w:rsidR="00075AC3" w:rsidRPr="0022331B">
        <w:rPr>
          <w:sz w:val="24"/>
          <w:szCs w:val="24"/>
        </w:rPr>
        <w:t>-‘</w:t>
      </w:r>
      <w:proofErr w:type="gramEnd"/>
      <w:r w:rsidR="00075AC3" w:rsidRPr="0022331B">
        <w:rPr>
          <w:sz w:val="24"/>
          <w:szCs w:val="24"/>
        </w:rPr>
        <w:t xml:space="preserve">Ali Sadiq Khurasani.  </w:t>
      </w:r>
      <w:proofErr w:type="spellStart"/>
      <w:r w:rsidR="00075AC3" w:rsidRPr="0022331B">
        <w:rPr>
          <w:sz w:val="24"/>
          <w:szCs w:val="24"/>
        </w:rPr>
        <w:t>Ziba</w:t>
      </w:r>
      <w:proofErr w:type="spellEnd"/>
      <w:r w:rsidR="00075AC3" w:rsidRPr="0022331B">
        <w:rPr>
          <w:sz w:val="24"/>
          <w:szCs w:val="24"/>
        </w:rPr>
        <w:t xml:space="preserve"> Khanum (top left) is shown as the mother of Ghulam</w:t>
      </w:r>
      <w:proofErr w:type="gramStart"/>
      <w:r w:rsidR="00075AC3" w:rsidRPr="0022331B">
        <w:rPr>
          <w:sz w:val="24"/>
          <w:szCs w:val="24"/>
        </w:rPr>
        <w:t>-‘</w:t>
      </w:r>
      <w:proofErr w:type="gramEnd"/>
      <w:r w:rsidR="00075AC3" w:rsidRPr="0022331B">
        <w:rPr>
          <w:sz w:val="24"/>
          <w:szCs w:val="24"/>
        </w:rPr>
        <w:t xml:space="preserve">Ali (bottom </w:t>
      </w:r>
      <w:proofErr w:type="spellStart"/>
      <w:r w:rsidR="00075AC3" w:rsidRPr="0022331B">
        <w:rPr>
          <w:sz w:val="24"/>
          <w:szCs w:val="24"/>
        </w:rPr>
        <w:t>center</w:t>
      </w:r>
      <w:proofErr w:type="spellEnd"/>
      <w:r w:rsidR="00075AC3" w:rsidRPr="0022331B">
        <w:rPr>
          <w:sz w:val="24"/>
          <w:szCs w:val="24"/>
        </w:rPr>
        <w:t xml:space="preserve">).  The document suggests that </w:t>
      </w:r>
      <w:proofErr w:type="spellStart"/>
      <w:r w:rsidR="00075AC3" w:rsidRPr="0022331B">
        <w:rPr>
          <w:sz w:val="24"/>
          <w:szCs w:val="24"/>
        </w:rPr>
        <w:t>Ziba</w:t>
      </w:r>
      <w:proofErr w:type="spellEnd"/>
      <w:r w:rsidR="00075AC3" w:rsidRPr="0022331B">
        <w:rPr>
          <w:sz w:val="24"/>
          <w:szCs w:val="24"/>
        </w:rPr>
        <w:t xml:space="preserve"> was from Mombasa.  She is designated with the name “</w:t>
      </w:r>
      <w:proofErr w:type="spellStart"/>
      <w:r w:rsidR="00075AC3" w:rsidRPr="0022331B">
        <w:rPr>
          <w:sz w:val="24"/>
          <w:szCs w:val="24"/>
        </w:rPr>
        <w:t>Dadé</w:t>
      </w:r>
      <w:proofErr w:type="spellEnd"/>
      <w:r w:rsidR="00075AC3" w:rsidRPr="0022331B">
        <w:rPr>
          <w:sz w:val="24"/>
          <w:szCs w:val="24"/>
        </w:rPr>
        <w:t>” (Nanny), as she was known by the family.  No marker of race is included for her or her descendants.  (Source:</w:t>
      </w:r>
      <w:r w:rsidRPr="0022331B">
        <w:rPr>
          <w:sz w:val="24"/>
          <w:szCs w:val="24"/>
        </w:rPr>
        <w:t xml:space="preserve"> </w:t>
      </w:r>
      <w:r w:rsidR="00075AC3" w:rsidRPr="0022331B">
        <w:rPr>
          <w:sz w:val="24"/>
          <w:szCs w:val="24"/>
        </w:rPr>
        <w:t xml:space="preserve"> “</w:t>
      </w:r>
      <w:proofErr w:type="spellStart"/>
      <w:r w:rsidR="00075AC3" w:rsidRPr="0022331B">
        <w:rPr>
          <w:sz w:val="24"/>
          <w:szCs w:val="24"/>
        </w:rPr>
        <w:t>Familien</w:t>
      </w:r>
      <w:proofErr w:type="spellEnd"/>
      <w:r w:rsidR="00075AC3" w:rsidRPr="0022331B">
        <w:rPr>
          <w:sz w:val="24"/>
          <w:szCs w:val="24"/>
        </w:rPr>
        <w:t xml:space="preserve"> Tafel: Stammbaum des Dr Nasser </w:t>
      </w:r>
      <w:proofErr w:type="spellStart"/>
      <w:r w:rsidR="00075AC3" w:rsidRPr="0022331B">
        <w:rPr>
          <w:sz w:val="24"/>
          <w:szCs w:val="24"/>
        </w:rPr>
        <w:t>Torkzadeh</w:t>
      </w:r>
      <w:proofErr w:type="spellEnd"/>
      <w:r w:rsidR="00075AC3" w:rsidRPr="0022331B">
        <w:rPr>
          <w:sz w:val="24"/>
          <w:szCs w:val="24"/>
        </w:rPr>
        <w:t>”</w:t>
      </w:r>
      <w:r w:rsidRPr="0022331B">
        <w:rPr>
          <w:sz w:val="24"/>
          <w:szCs w:val="24"/>
        </w:rPr>
        <w:t>,</w:t>
      </w:r>
      <w:r w:rsidR="00075AC3" w:rsidRPr="0022331B">
        <w:rPr>
          <w:sz w:val="24"/>
          <w:szCs w:val="24"/>
        </w:rPr>
        <w:t xml:space="preserve"> 1995.  In private hands.)</w:t>
      </w:r>
    </w:p>
    <w:p w14:paraId="7B6DFF99" w14:textId="77777777" w:rsidR="00075AC3" w:rsidRPr="0022331B" w:rsidRDefault="00075AC3" w:rsidP="00BD6331">
      <w:pPr>
        <w:pStyle w:val="Text"/>
        <w:spacing w:line="300" w:lineRule="auto"/>
        <w:rPr>
          <w:sz w:val="24"/>
          <w:szCs w:val="24"/>
        </w:rPr>
      </w:pPr>
      <w:r w:rsidRPr="0022331B">
        <w:rPr>
          <w:sz w:val="24"/>
          <w:szCs w:val="24"/>
        </w:rPr>
        <w:t xml:space="preserve">However, there is no one alive today who remembers meeting </w:t>
      </w:r>
      <w:proofErr w:type="spellStart"/>
      <w:r w:rsidRPr="0022331B">
        <w:rPr>
          <w:sz w:val="24"/>
          <w:szCs w:val="24"/>
        </w:rPr>
        <w:t>Ziba</w:t>
      </w:r>
      <w:proofErr w:type="spellEnd"/>
      <w:r w:rsidRPr="0022331B">
        <w:rPr>
          <w:sz w:val="24"/>
          <w:szCs w:val="24"/>
        </w:rPr>
        <w:t xml:space="preserve"> Khanum, and there are no documentary records of her life.  All information about her must be gleaned from family traditions.  Her descendants universally insist that she was always respected as a member of Ghulam</w:t>
      </w:r>
      <w:proofErr w:type="gramStart"/>
      <w:r w:rsidRPr="0022331B">
        <w:rPr>
          <w:sz w:val="24"/>
          <w:szCs w:val="24"/>
        </w:rPr>
        <w:t>-‘</w:t>
      </w:r>
      <w:proofErr w:type="gramEnd"/>
      <w:r w:rsidRPr="0022331B">
        <w:rPr>
          <w:sz w:val="24"/>
          <w:szCs w:val="24"/>
        </w:rPr>
        <w:t xml:space="preserve">Ali’s household in Yazd.  They describe her as gentle and loving, a typical grandmother figure.  Living in her son’s house, she may have indeed overcome her status as a slave.  However, it has proven impossible for me to recover even one word that </w:t>
      </w:r>
      <w:proofErr w:type="spellStart"/>
      <w:r w:rsidRPr="0022331B">
        <w:rPr>
          <w:sz w:val="24"/>
          <w:szCs w:val="24"/>
        </w:rPr>
        <w:lastRenderedPageBreak/>
        <w:t>Ziba</w:t>
      </w:r>
      <w:proofErr w:type="spellEnd"/>
      <w:r w:rsidRPr="0022331B">
        <w:rPr>
          <w:sz w:val="24"/>
          <w:szCs w:val="24"/>
        </w:rPr>
        <w:t xml:space="preserve"> Khanum spoke during her lifetime, and so it would seem that her voice is permanently lost to history.  She remains silent and subaltern.  The one act of agency that can be identified is the gift of the </w:t>
      </w:r>
      <w:r w:rsidR="00EE1218" w:rsidRPr="0022331B">
        <w:rPr>
          <w:sz w:val="24"/>
          <w:szCs w:val="24"/>
        </w:rPr>
        <w:t>jewelled</w:t>
      </w:r>
      <w:r w:rsidRPr="0022331B">
        <w:rPr>
          <w:sz w:val="24"/>
          <w:szCs w:val="24"/>
        </w:rPr>
        <w:t xml:space="preserve"> skirt to her son, which enabled him to make his Baha’i pilgrimage and possibly provided him with capital to go into business.  More tentatively, we might include her possible conversion to the Baha’i Faith and her move into her son’s house upon his return to Yazd.  In any case, toward the end of her life, she was living in her son’s Baha’i household and was functionally a Baha’i.</w:t>
      </w:r>
    </w:p>
    <w:p w14:paraId="45F383BF" w14:textId="77777777" w:rsidR="00075AC3" w:rsidRPr="0022331B" w:rsidRDefault="00075AC3" w:rsidP="00BD6331">
      <w:pPr>
        <w:pStyle w:val="Heading2"/>
        <w:spacing w:line="300" w:lineRule="auto"/>
        <w:rPr>
          <w:sz w:val="28"/>
          <w:szCs w:val="28"/>
        </w:rPr>
      </w:pPr>
      <w:r w:rsidRPr="0022331B">
        <w:rPr>
          <w:sz w:val="28"/>
          <w:szCs w:val="28"/>
        </w:rPr>
        <w:t xml:space="preserve">Will the </w:t>
      </w:r>
      <w:r w:rsidR="00537539" w:rsidRPr="0022331B">
        <w:rPr>
          <w:sz w:val="28"/>
          <w:szCs w:val="28"/>
        </w:rPr>
        <w:t>s</w:t>
      </w:r>
      <w:r w:rsidRPr="0022331B">
        <w:rPr>
          <w:sz w:val="28"/>
          <w:szCs w:val="28"/>
        </w:rPr>
        <w:t xml:space="preserve">ubaltern </w:t>
      </w:r>
      <w:r w:rsidR="00537539" w:rsidRPr="0022331B">
        <w:rPr>
          <w:sz w:val="28"/>
          <w:szCs w:val="28"/>
        </w:rPr>
        <w:t>s</w:t>
      </w:r>
      <w:r w:rsidRPr="0022331B">
        <w:rPr>
          <w:sz w:val="28"/>
          <w:szCs w:val="28"/>
        </w:rPr>
        <w:t>peak?</w:t>
      </w:r>
    </w:p>
    <w:p w14:paraId="2A121745" w14:textId="77777777" w:rsidR="00075AC3" w:rsidRPr="0022331B" w:rsidRDefault="00075AC3" w:rsidP="00BD6331">
      <w:pPr>
        <w:pStyle w:val="Text"/>
        <w:spacing w:line="300" w:lineRule="auto"/>
        <w:rPr>
          <w:sz w:val="24"/>
          <w:szCs w:val="24"/>
        </w:rPr>
      </w:pPr>
      <w:r w:rsidRPr="0022331B">
        <w:rPr>
          <w:sz w:val="24"/>
          <w:szCs w:val="24"/>
        </w:rPr>
        <w:t xml:space="preserve">The voiceless </w:t>
      </w:r>
      <w:proofErr w:type="spellStart"/>
      <w:r w:rsidRPr="0022331B">
        <w:rPr>
          <w:sz w:val="24"/>
          <w:szCs w:val="24"/>
        </w:rPr>
        <w:t>Ziba</w:t>
      </w:r>
      <w:proofErr w:type="spellEnd"/>
      <w:r w:rsidRPr="0022331B">
        <w:rPr>
          <w:sz w:val="24"/>
          <w:szCs w:val="24"/>
        </w:rPr>
        <w:t xml:space="preserve"> Khanum presents the historian of slavery with a dilemma.  How should her life be represented and understood?  Gayatri Spivak aggressively raised this challenge in her noted essay, “Can the Subaltern Speak?”</w:t>
      </w:r>
      <w:r w:rsidRPr="0022331B">
        <w:rPr>
          <w:rStyle w:val="FootnoteReference"/>
          <w:sz w:val="24"/>
          <w:szCs w:val="24"/>
        </w:rPr>
        <w:footnoteReference w:id="31"/>
      </w:r>
      <w:r w:rsidRPr="0022331B">
        <w:rPr>
          <w:sz w:val="24"/>
          <w:szCs w:val="24"/>
        </w:rPr>
        <w:t xml:space="preserve"> in which she questions the use of subaltern subjects in writings about the history of India.  She forcefully, and sometimes poignantly, demonstrates the appropriation of the subaltern voice in the service of the British imperialist “civilizing mission”</w:t>
      </w:r>
      <w:r w:rsidR="00537539" w:rsidRPr="0022331B">
        <w:rPr>
          <w:sz w:val="24"/>
          <w:szCs w:val="24"/>
        </w:rPr>
        <w:t>,</w:t>
      </w:r>
      <w:r w:rsidRPr="0022331B">
        <w:rPr>
          <w:sz w:val="24"/>
          <w:szCs w:val="24"/>
        </w:rPr>
        <w:t xml:space="preserve"> by Indian nationalists conducting an armed insurgency against the British raj, and by contemporary historians and Marxist theorists in support of revolutionary ideologies.  The absent and silent subaltern, it would seem, can be represented in support of any position at all.  Spivak comes close to suggesting that a history of subaltern people, either as individuals or conceived as a class, cannot be written at all, and </w:t>
      </w:r>
      <w:r w:rsidR="00537539" w:rsidRPr="0022331B">
        <w:rPr>
          <w:sz w:val="24"/>
          <w:szCs w:val="24"/>
        </w:rPr>
        <w:t xml:space="preserve">it </w:t>
      </w:r>
      <w:r w:rsidRPr="0022331B">
        <w:rPr>
          <w:sz w:val="24"/>
          <w:szCs w:val="24"/>
        </w:rPr>
        <w:t>should not be attempted.  She seems determined, at least in this essay, to insist that subaltern persons, and especially women, will never be able to speak or represent themselves.  She declares that “the subaltern female cannot be heard or read.”</w:t>
      </w:r>
      <w:r w:rsidRPr="0022331B">
        <w:rPr>
          <w:rStyle w:val="FootnoteReference"/>
          <w:sz w:val="24"/>
          <w:szCs w:val="24"/>
        </w:rPr>
        <w:footnoteReference w:id="32"/>
      </w:r>
      <w:r w:rsidRPr="0022331B">
        <w:rPr>
          <w:sz w:val="24"/>
          <w:szCs w:val="24"/>
        </w:rPr>
        <w:t xml:space="preserve">  Spivak’s challenge is of direct relevance to my own attempt to recover at least a part of the life of </w:t>
      </w:r>
      <w:proofErr w:type="spellStart"/>
      <w:r w:rsidRPr="0022331B">
        <w:rPr>
          <w:sz w:val="24"/>
          <w:szCs w:val="24"/>
        </w:rPr>
        <w:t>Ziba</w:t>
      </w:r>
      <w:proofErr w:type="spellEnd"/>
      <w:r w:rsidRPr="0022331B">
        <w:rPr>
          <w:sz w:val="24"/>
          <w:szCs w:val="24"/>
        </w:rPr>
        <w:t xml:space="preserve"> Khanum from family memory and tradition.</w:t>
      </w:r>
    </w:p>
    <w:p w14:paraId="13138697" w14:textId="77777777" w:rsidR="00075AC3" w:rsidRPr="0022331B" w:rsidRDefault="00075AC3" w:rsidP="00BD6331">
      <w:pPr>
        <w:pStyle w:val="Text"/>
        <w:spacing w:line="300" w:lineRule="auto"/>
        <w:rPr>
          <w:sz w:val="24"/>
          <w:szCs w:val="24"/>
        </w:rPr>
      </w:pPr>
      <w:r w:rsidRPr="0022331B">
        <w:rPr>
          <w:sz w:val="24"/>
          <w:szCs w:val="24"/>
        </w:rPr>
        <w:t xml:space="preserve">Eve </w:t>
      </w:r>
      <w:proofErr w:type="spellStart"/>
      <w:r w:rsidRPr="0022331B">
        <w:rPr>
          <w:sz w:val="24"/>
          <w:szCs w:val="24"/>
        </w:rPr>
        <w:t>Troutt</w:t>
      </w:r>
      <w:proofErr w:type="spellEnd"/>
      <w:r w:rsidRPr="0022331B">
        <w:rPr>
          <w:sz w:val="24"/>
          <w:szCs w:val="24"/>
        </w:rPr>
        <w:t xml:space="preserve"> Powell has raised Spivak’s arguments with regard to the attempt by historians of slavery to recover the voice and history of Africans in the Middle East.</w:t>
      </w:r>
      <w:r w:rsidRPr="0022331B">
        <w:rPr>
          <w:rStyle w:val="FootnoteReference"/>
          <w:sz w:val="24"/>
          <w:szCs w:val="24"/>
        </w:rPr>
        <w:footnoteReference w:id="33"/>
      </w:r>
      <w:r w:rsidRPr="0022331B">
        <w:rPr>
          <w:sz w:val="24"/>
          <w:szCs w:val="24"/>
        </w:rPr>
        <w:t xml:space="preserve">  </w:t>
      </w:r>
      <w:proofErr w:type="spellStart"/>
      <w:r w:rsidRPr="0022331B">
        <w:rPr>
          <w:sz w:val="24"/>
          <w:szCs w:val="24"/>
        </w:rPr>
        <w:t>Troutt</w:t>
      </w:r>
      <w:proofErr w:type="spellEnd"/>
      <w:r w:rsidRPr="0022331B">
        <w:rPr>
          <w:sz w:val="24"/>
          <w:szCs w:val="24"/>
        </w:rPr>
        <w:t xml:space="preserve"> Powell, however, does not reach the same bleak conclusions.  She does warn of the tendency in the historiography of slavery to impose artificial frameworks and constructions on subaltern subjects, particularly the danger of applying abolitionist narratives and assumptions of Atlantic slavery to very different situations in Islamic realms.  Edward Alpers and Matthew Hopper raise the same issue with regard to slave testimonies recorded by the British agents in western Indian Ocean ports.</w:t>
      </w:r>
      <w:r w:rsidRPr="0022331B">
        <w:rPr>
          <w:rStyle w:val="FootnoteReference"/>
          <w:sz w:val="24"/>
          <w:szCs w:val="24"/>
        </w:rPr>
        <w:footnoteReference w:id="34"/>
      </w:r>
      <w:r w:rsidRPr="0022331B">
        <w:rPr>
          <w:sz w:val="24"/>
          <w:szCs w:val="24"/>
        </w:rPr>
        <w:t xml:space="preserve">  They conclude that even when faced with transcripts of interviews </w:t>
      </w:r>
      <w:r w:rsidR="00537539" w:rsidRPr="0022331B">
        <w:rPr>
          <w:sz w:val="24"/>
          <w:szCs w:val="24"/>
        </w:rPr>
        <w:t>that</w:t>
      </w:r>
      <w:r w:rsidRPr="0022331B">
        <w:rPr>
          <w:sz w:val="24"/>
          <w:szCs w:val="24"/>
        </w:rPr>
        <w:t xml:space="preserve"> claim to represent the voices of </w:t>
      </w:r>
      <w:r w:rsidRPr="0022331B">
        <w:rPr>
          <w:sz w:val="24"/>
          <w:szCs w:val="24"/>
        </w:rPr>
        <w:lastRenderedPageBreak/>
        <w:t>former African slaves, the historian must exercise extreme caution, allowing for errors of translation and distortions of interpretation and interference by both indigenous and British officials.  This conclusion is, however, closer to the ordinary care and caution that historians must exercise when examining any document.</w:t>
      </w:r>
    </w:p>
    <w:p w14:paraId="6F1EFE22" w14:textId="77777777" w:rsidR="00075AC3" w:rsidRPr="0022331B" w:rsidRDefault="00537539" w:rsidP="00BD6331">
      <w:pPr>
        <w:pStyle w:val="Text"/>
        <w:spacing w:line="300" w:lineRule="auto"/>
        <w:rPr>
          <w:sz w:val="24"/>
          <w:szCs w:val="24"/>
        </w:rPr>
      </w:pPr>
      <w:r w:rsidRPr="0022331B">
        <w:rPr>
          <w:sz w:val="24"/>
          <w:szCs w:val="24"/>
        </w:rPr>
        <w:t>However, t</w:t>
      </w:r>
      <w:r w:rsidR="00075AC3" w:rsidRPr="0022331B">
        <w:rPr>
          <w:sz w:val="24"/>
          <w:szCs w:val="24"/>
        </w:rPr>
        <w:t xml:space="preserve">here are no documents that claim to have captured </w:t>
      </w:r>
      <w:proofErr w:type="spellStart"/>
      <w:r w:rsidR="00075AC3" w:rsidRPr="0022331B">
        <w:rPr>
          <w:sz w:val="24"/>
          <w:szCs w:val="24"/>
        </w:rPr>
        <w:t>Ziba</w:t>
      </w:r>
      <w:proofErr w:type="spellEnd"/>
      <w:r w:rsidR="00075AC3" w:rsidRPr="0022331B">
        <w:rPr>
          <w:sz w:val="24"/>
          <w:szCs w:val="24"/>
        </w:rPr>
        <w:t xml:space="preserve"> Khanum’s voice.  Further, there are no oral reports of that voice.  The family tradition found such words to be unimportant.  So, is there any way to hear her voice?  Or, to make Spivak’s question specific:  Can </w:t>
      </w:r>
      <w:proofErr w:type="spellStart"/>
      <w:r w:rsidR="00075AC3" w:rsidRPr="0022331B">
        <w:rPr>
          <w:sz w:val="24"/>
          <w:szCs w:val="24"/>
        </w:rPr>
        <w:t>Ziba</w:t>
      </w:r>
      <w:proofErr w:type="spellEnd"/>
      <w:r w:rsidR="00075AC3" w:rsidRPr="0022331B">
        <w:rPr>
          <w:sz w:val="24"/>
          <w:szCs w:val="24"/>
        </w:rPr>
        <w:t xml:space="preserve"> Khanum ever speak?  Sadly, my answer is no.  Her voice is lost; we have no access to her thoughts or her inner life.</w:t>
      </w:r>
      <w:r w:rsidR="00075AC3" w:rsidRPr="0022331B">
        <w:rPr>
          <w:rStyle w:val="FootnoteReference"/>
          <w:sz w:val="24"/>
          <w:szCs w:val="24"/>
        </w:rPr>
        <w:footnoteReference w:id="35"/>
      </w:r>
      <w:r w:rsidR="00075AC3" w:rsidRPr="0022331B">
        <w:rPr>
          <w:sz w:val="24"/>
          <w:szCs w:val="24"/>
        </w:rPr>
        <w:t xml:space="preserve">  </w:t>
      </w:r>
      <w:r w:rsidR="00B167A8" w:rsidRPr="0022331B">
        <w:rPr>
          <w:sz w:val="24"/>
          <w:szCs w:val="24"/>
        </w:rPr>
        <w:t>However,</w:t>
      </w:r>
      <w:r w:rsidR="00075AC3" w:rsidRPr="0022331B">
        <w:rPr>
          <w:sz w:val="24"/>
          <w:szCs w:val="24"/>
        </w:rPr>
        <w:t xml:space="preserve"> that does not mean that her life is without meaning or value to history.  We must listen for the African voice in Iran, even when it cannot be heard.  </w:t>
      </w:r>
      <w:proofErr w:type="spellStart"/>
      <w:r w:rsidR="00075AC3" w:rsidRPr="0022331B">
        <w:rPr>
          <w:sz w:val="24"/>
          <w:szCs w:val="24"/>
        </w:rPr>
        <w:t>Ziba</w:t>
      </w:r>
      <w:proofErr w:type="spellEnd"/>
      <w:r w:rsidR="00075AC3" w:rsidRPr="0022331B">
        <w:rPr>
          <w:sz w:val="24"/>
          <w:szCs w:val="24"/>
        </w:rPr>
        <w:t xml:space="preserve"> Khanum’s silent voice therefore is reduced to only a presence.  That presence informs us that there were African women who were enslaved in Yazd in the middle of the </w:t>
      </w:r>
      <w:proofErr w:type="gramStart"/>
      <w:r w:rsidR="00075AC3" w:rsidRPr="0022331B">
        <w:rPr>
          <w:sz w:val="24"/>
          <w:szCs w:val="24"/>
        </w:rPr>
        <w:t>nineteenth-century</w:t>
      </w:r>
      <w:proofErr w:type="gramEnd"/>
      <w:r w:rsidR="00075AC3" w:rsidRPr="0022331B">
        <w:rPr>
          <w:sz w:val="24"/>
          <w:szCs w:val="24"/>
        </w:rPr>
        <w:t>, that these women served as domestic servants and concubines, that they had children by their masters, and that they could sometimes act to support and protect their children (who were legally free).  These Afro-Iranian children remained in Iran, married local people, and although they might be identified as black (</w:t>
      </w:r>
      <w:proofErr w:type="spellStart"/>
      <w:r w:rsidR="00075AC3" w:rsidRPr="0022331B">
        <w:rPr>
          <w:i/>
          <w:iCs/>
          <w:sz w:val="24"/>
          <w:szCs w:val="24"/>
        </w:rPr>
        <w:t>siyah</w:t>
      </w:r>
      <w:proofErr w:type="spellEnd"/>
      <w:r w:rsidR="00075AC3" w:rsidRPr="0022331B">
        <w:rPr>
          <w:sz w:val="24"/>
          <w:szCs w:val="24"/>
        </w:rPr>
        <w:t xml:space="preserve">), could live normal lives as Iranians. </w:t>
      </w:r>
      <w:r w:rsidR="00B167A8" w:rsidRPr="0022331B">
        <w:rPr>
          <w:sz w:val="24"/>
          <w:szCs w:val="24"/>
        </w:rPr>
        <w:t xml:space="preserve"> </w:t>
      </w:r>
      <w:r w:rsidR="00075AC3" w:rsidRPr="0022331B">
        <w:rPr>
          <w:sz w:val="24"/>
          <w:szCs w:val="24"/>
        </w:rPr>
        <w:t xml:space="preserve">Sometimes these Afro-Iranians might become wealthy and notable men. </w:t>
      </w:r>
      <w:r w:rsidR="00B167A8" w:rsidRPr="0022331B">
        <w:rPr>
          <w:sz w:val="24"/>
          <w:szCs w:val="24"/>
        </w:rPr>
        <w:t xml:space="preserve"> </w:t>
      </w:r>
      <w:r w:rsidR="00075AC3" w:rsidRPr="0022331B">
        <w:rPr>
          <w:sz w:val="24"/>
          <w:szCs w:val="24"/>
        </w:rPr>
        <w:t xml:space="preserve">Some percentage of the Iranian population, </w:t>
      </w:r>
      <w:proofErr w:type="gramStart"/>
      <w:r w:rsidR="00075AC3" w:rsidRPr="0022331B">
        <w:rPr>
          <w:sz w:val="24"/>
          <w:szCs w:val="24"/>
        </w:rPr>
        <w:t>as a consequence</w:t>
      </w:r>
      <w:proofErr w:type="gramEnd"/>
      <w:r w:rsidR="00075AC3" w:rsidRPr="0022331B">
        <w:rPr>
          <w:sz w:val="24"/>
          <w:szCs w:val="24"/>
        </w:rPr>
        <w:t>, is of African descent, though this heritage has never hardened into a clear racial category within the society.</w:t>
      </w:r>
    </w:p>
    <w:p w14:paraId="13084FCC" w14:textId="77777777" w:rsidR="00075AC3" w:rsidRPr="0022331B" w:rsidRDefault="00075AC3" w:rsidP="00BD6331">
      <w:pPr>
        <w:pStyle w:val="Text"/>
        <w:spacing w:line="300" w:lineRule="auto"/>
        <w:rPr>
          <w:sz w:val="24"/>
          <w:szCs w:val="24"/>
        </w:rPr>
      </w:pPr>
      <w:r w:rsidRPr="0022331B">
        <w:rPr>
          <w:sz w:val="24"/>
          <w:szCs w:val="24"/>
        </w:rPr>
        <w:t xml:space="preserve">I maintain that historians should continue to recover what can be recovered of the lives of enslaved Africans in Iran as individuals for their own sake—to understand and to </w:t>
      </w:r>
      <w:proofErr w:type="spellStart"/>
      <w:r w:rsidRPr="0022331B">
        <w:rPr>
          <w:sz w:val="24"/>
          <w:szCs w:val="24"/>
        </w:rPr>
        <w:t>honor</w:t>
      </w:r>
      <w:proofErr w:type="spellEnd"/>
      <w:r w:rsidRPr="0022331B">
        <w:rPr>
          <w:sz w:val="24"/>
          <w:szCs w:val="24"/>
        </w:rPr>
        <w:t xml:space="preserve"> those who were taken from their African homelands and enslaved in Iran, to rescue them from anonymity, and to restore their human dignity.  Doing so, we must take these persons seriously, acknowledge their presence, listen for their voices, and regard them as actors, making choices (even when we cannot see their choices) among the options that were available to them, in an effort to gain as much dignity, status, and autonomy as might have been possible under the circumstances of their enslavement.  Such a history of African slavery in Iran is possible.</w:t>
      </w:r>
    </w:p>
    <w:sectPr w:rsidR="00075AC3" w:rsidRPr="0022331B" w:rsidSect="0022331B">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7" w:h="16839" w:code="9"/>
      <w:pgMar w:top="1296" w:right="1296" w:bottom="1296" w:left="1296" w:header="288" w:footer="288"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7F668" w14:textId="77777777" w:rsidR="00F67C82" w:rsidRDefault="00F67C82" w:rsidP="00E41271">
      <w:r>
        <w:separator/>
      </w:r>
    </w:p>
  </w:endnote>
  <w:endnote w:type="continuationSeparator" w:id="0">
    <w:p w14:paraId="5573715F" w14:textId="77777777" w:rsidR="00F67C82" w:rsidRDefault="00F67C82"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20B0604020202020204"/>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8AF2B" w14:textId="77777777" w:rsidR="0029228F" w:rsidRDefault="002922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47A6" w14:textId="77777777" w:rsidR="0029228F" w:rsidRDefault="0029228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A845" w14:textId="77777777" w:rsidR="0029228F" w:rsidRDefault="00292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5181D" w14:textId="77777777" w:rsidR="00F67C82" w:rsidRDefault="00F67C82" w:rsidP="00E41271">
      <w:r>
        <w:separator/>
      </w:r>
    </w:p>
  </w:footnote>
  <w:footnote w:type="continuationSeparator" w:id="0">
    <w:p w14:paraId="7649C695" w14:textId="77777777" w:rsidR="00F67C82" w:rsidRDefault="00F67C82" w:rsidP="00E41271">
      <w:r>
        <w:continuationSeparator/>
      </w:r>
    </w:p>
  </w:footnote>
  <w:footnote w:id="1">
    <w:p w14:paraId="0BD08057" w14:textId="77777777" w:rsidR="0029228F" w:rsidRPr="0022331B" w:rsidRDefault="0029228F" w:rsidP="00075AC3">
      <w:pPr>
        <w:pStyle w:val="FootnoteText"/>
        <w:rPr>
          <w:sz w:val="20"/>
          <w:szCs w:val="20"/>
        </w:rPr>
      </w:pPr>
      <w:r w:rsidRPr="0022331B">
        <w:rPr>
          <w:sz w:val="20"/>
          <w:szCs w:val="20"/>
        </w:rPr>
        <w:t xml:space="preserve">I am grateful to </w:t>
      </w:r>
      <w:proofErr w:type="spellStart"/>
      <w:r w:rsidRPr="0022331B">
        <w:rPr>
          <w:sz w:val="20"/>
          <w:szCs w:val="20"/>
        </w:rPr>
        <w:t>Dr.</w:t>
      </w:r>
      <w:proofErr w:type="spellEnd"/>
      <w:r w:rsidRPr="0022331B">
        <w:rPr>
          <w:sz w:val="20"/>
          <w:szCs w:val="20"/>
        </w:rPr>
        <w:t xml:space="preserve"> Mehrdad Amanat for his indispensable assistance with my research for this paper.</w:t>
      </w:r>
    </w:p>
    <w:p w14:paraId="58D835BD" w14:textId="77777777" w:rsidR="0029228F" w:rsidRPr="0022331B" w:rsidRDefault="0029228F" w:rsidP="00075AC3">
      <w:pPr>
        <w:pStyle w:val="FootnoteText"/>
        <w:rPr>
          <w:sz w:val="20"/>
          <w:szCs w:val="20"/>
        </w:rPr>
      </w:pPr>
    </w:p>
    <w:p w14:paraId="79926CF9" w14:textId="77777777" w:rsidR="0029228F" w:rsidRPr="0022331B" w:rsidRDefault="0029228F" w:rsidP="00827300">
      <w:pPr>
        <w:pStyle w:val="FootnoteText"/>
        <w:rPr>
          <w:sz w:val="20"/>
          <w:szCs w:val="20"/>
        </w:rPr>
      </w:pPr>
      <w:r w:rsidRPr="0022331B">
        <w:rPr>
          <w:rStyle w:val="FootnoteReference"/>
          <w:sz w:val="22"/>
          <w:szCs w:val="20"/>
        </w:rPr>
        <w:footnoteRef/>
      </w:r>
      <w:r w:rsidRPr="0022331B">
        <w:rPr>
          <w:sz w:val="20"/>
          <w:szCs w:val="20"/>
        </w:rPr>
        <w:tab/>
        <w:t xml:space="preserve">The only doctoral dissertation written on the history of Iranian slavery appears to be </w:t>
      </w:r>
      <w:proofErr w:type="spellStart"/>
      <w:r w:rsidRPr="0022331B">
        <w:rPr>
          <w:sz w:val="20"/>
          <w:szCs w:val="20"/>
        </w:rPr>
        <w:t>Behnaz</w:t>
      </w:r>
      <w:proofErr w:type="spellEnd"/>
      <w:r w:rsidRPr="0022331B">
        <w:rPr>
          <w:sz w:val="20"/>
          <w:szCs w:val="20"/>
        </w:rPr>
        <w:t xml:space="preserve"> A. </w:t>
      </w:r>
      <w:proofErr w:type="spellStart"/>
      <w:r w:rsidRPr="0022331B">
        <w:rPr>
          <w:sz w:val="20"/>
          <w:szCs w:val="20"/>
        </w:rPr>
        <w:t>Mirzai’s</w:t>
      </w:r>
      <w:proofErr w:type="spellEnd"/>
      <w:r w:rsidRPr="0022331B">
        <w:rPr>
          <w:sz w:val="20"/>
          <w:szCs w:val="20"/>
        </w:rPr>
        <w:t xml:space="preserve"> “Slavery, the Abolition of the Slave Trade, and the Emancipation of Slaves in Iran (1828–1928)”, Ph.D. dissertation, York University, Ontario, 2004, published as </w:t>
      </w:r>
      <w:r w:rsidRPr="0022331B">
        <w:rPr>
          <w:i/>
          <w:sz w:val="20"/>
          <w:szCs w:val="20"/>
        </w:rPr>
        <w:t xml:space="preserve">A History of Slavery and Emancipation in Iran, 1800–1929 </w:t>
      </w:r>
      <w:r w:rsidRPr="0022331B">
        <w:rPr>
          <w:sz w:val="20"/>
          <w:szCs w:val="20"/>
        </w:rPr>
        <w:t xml:space="preserve">(Austin:  University of Texas Press, 2017).  By the same author, see also “African Presence in Iran:  Identity and its Reconstruction”, in O. </w:t>
      </w:r>
      <w:proofErr w:type="spellStart"/>
      <w:r w:rsidRPr="0022331B">
        <w:rPr>
          <w:sz w:val="20"/>
          <w:szCs w:val="20"/>
        </w:rPr>
        <w:t>Petre-Grenouilleau</w:t>
      </w:r>
      <w:proofErr w:type="spellEnd"/>
      <w:r w:rsidRPr="0022331B">
        <w:rPr>
          <w:sz w:val="20"/>
          <w:szCs w:val="20"/>
        </w:rPr>
        <w:t xml:space="preserve">, ed., </w:t>
      </w:r>
      <w:proofErr w:type="spellStart"/>
      <w:r w:rsidRPr="0022331B">
        <w:rPr>
          <w:i/>
          <w:sz w:val="20"/>
          <w:szCs w:val="20"/>
        </w:rPr>
        <w:t>Traites</w:t>
      </w:r>
      <w:proofErr w:type="spellEnd"/>
      <w:r w:rsidRPr="0022331B">
        <w:rPr>
          <w:i/>
          <w:sz w:val="20"/>
          <w:szCs w:val="20"/>
        </w:rPr>
        <w:t xml:space="preserve"> et </w:t>
      </w:r>
      <w:proofErr w:type="spellStart"/>
      <w:r w:rsidRPr="0022331B">
        <w:rPr>
          <w:i/>
          <w:sz w:val="20"/>
          <w:szCs w:val="20"/>
        </w:rPr>
        <w:t>Esclavages</w:t>
      </w:r>
      <w:proofErr w:type="spellEnd"/>
      <w:r w:rsidRPr="0022331B">
        <w:rPr>
          <w:i/>
          <w:sz w:val="20"/>
          <w:szCs w:val="20"/>
        </w:rPr>
        <w:t xml:space="preserve">:  Vieux </w:t>
      </w:r>
      <w:proofErr w:type="spellStart"/>
      <w:r w:rsidRPr="0022331B">
        <w:rPr>
          <w:i/>
          <w:sz w:val="20"/>
          <w:szCs w:val="20"/>
        </w:rPr>
        <w:t>Problemes</w:t>
      </w:r>
      <w:proofErr w:type="spellEnd"/>
      <w:r w:rsidRPr="0022331B">
        <w:rPr>
          <w:i/>
          <w:sz w:val="20"/>
          <w:szCs w:val="20"/>
        </w:rPr>
        <w:t>, Nouvelles Perspectives?</w:t>
      </w:r>
      <w:r w:rsidRPr="0022331B">
        <w:rPr>
          <w:sz w:val="20"/>
          <w:szCs w:val="20"/>
        </w:rPr>
        <w:t xml:space="preserve"> (Paris:  Société Française </w:t>
      </w:r>
      <w:proofErr w:type="spellStart"/>
      <w:r w:rsidRPr="0022331B">
        <w:rPr>
          <w:sz w:val="20"/>
          <w:szCs w:val="20"/>
        </w:rPr>
        <w:t>d’Histoire</w:t>
      </w:r>
      <w:proofErr w:type="spellEnd"/>
      <w:r w:rsidRPr="0022331B">
        <w:rPr>
          <w:sz w:val="20"/>
          <w:szCs w:val="20"/>
        </w:rPr>
        <w:t xml:space="preserve"> </w:t>
      </w:r>
      <w:proofErr w:type="spellStart"/>
      <w:r w:rsidRPr="0022331B">
        <w:rPr>
          <w:sz w:val="20"/>
          <w:szCs w:val="20"/>
        </w:rPr>
        <w:t>d’Outre-mer</w:t>
      </w:r>
      <w:proofErr w:type="spellEnd"/>
      <w:r w:rsidRPr="0022331B">
        <w:rPr>
          <w:sz w:val="20"/>
          <w:szCs w:val="20"/>
        </w:rPr>
        <w:t xml:space="preserve">, 2002) 229–46; and “The Slave Trade and the African Diaspora in Iran” in Abdul Sheriff, ed., </w:t>
      </w:r>
      <w:r w:rsidRPr="0022331B">
        <w:rPr>
          <w:i/>
          <w:sz w:val="20"/>
          <w:szCs w:val="20"/>
        </w:rPr>
        <w:t>Monsoon and Migration:  Unleashing Dhow Synergies</w:t>
      </w:r>
      <w:r w:rsidRPr="0022331B">
        <w:rPr>
          <w:sz w:val="20"/>
          <w:szCs w:val="20"/>
        </w:rPr>
        <w:t xml:space="preserve"> (Zanzibar:  ZIFF, 2005); also “Afro-Iranian Lives” (video).  </w:t>
      </w:r>
      <w:proofErr w:type="spellStart"/>
      <w:r w:rsidRPr="0022331B">
        <w:rPr>
          <w:sz w:val="20"/>
          <w:szCs w:val="20"/>
        </w:rPr>
        <w:t>Niambi</w:t>
      </w:r>
      <w:proofErr w:type="spellEnd"/>
      <w:r w:rsidRPr="0022331B">
        <w:rPr>
          <w:sz w:val="20"/>
          <w:szCs w:val="20"/>
        </w:rPr>
        <w:t xml:space="preserve"> </w:t>
      </w:r>
      <w:proofErr w:type="spellStart"/>
      <w:r w:rsidRPr="0022331B">
        <w:rPr>
          <w:sz w:val="20"/>
          <w:szCs w:val="20"/>
        </w:rPr>
        <w:t>Cacchioli</w:t>
      </w:r>
      <w:proofErr w:type="spellEnd"/>
      <w:r w:rsidRPr="0022331B">
        <w:rPr>
          <w:sz w:val="20"/>
          <w:szCs w:val="20"/>
        </w:rPr>
        <w:t xml:space="preserve"> has also done work in this area:  see, “Disputed Freedom:  Fugitive Slaves, Asylum, and Manumission in Iran (1851–1913)”, UNESCO website (http://portal.unesco.org/culture/en/files/38508/12480962345Disputed_Freedom.pdf/Disputed%2BFreedom.pdf).  Also, my own work on enslaved Africans in Iran:  Anthony A. Lee, “Enslaved African Women in Nineteenth-Century Iran:  The Life of </w:t>
      </w:r>
      <w:proofErr w:type="spellStart"/>
      <w:r w:rsidRPr="0022331B">
        <w:rPr>
          <w:sz w:val="20"/>
          <w:szCs w:val="20"/>
        </w:rPr>
        <w:t>Fezzeh</w:t>
      </w:r>
      <w:proofErr w:type="spellEnd"/>
      <w:r w:rsidRPr="0022331B">
        <w:rPr>
          <w:sz w:val="20"/>
          <w:szCs w:val="20"/>
        </w:rPr>
        <w:t xml:space="preserve"> </w:t>
      </w:r>
      <w:proofErr w:type="spellStart"/>
      <w:r w:rsidRPr="0022331B">
        <w:rPr>
          <w:sz w:val="20"/>
          <w:szCs w:val="20"/>
        </w:rPr>
        <w:t>Khanom</w:t>
      </w:r>
      <w:proofErr w:type="spellEnd"/>
      <w:r w:rsidRPr="0022331B">
        <w:rPr>
          <w:sz w:val="20"/>
          <w:szCs w:val="20"/>
        </w:rPr>
        <w:t xml:space="preserve"> of Shiraz”, </w:t>
      </w:r>
      <w:r w:rsidRPr="0022331B">
        <w:rPr>
          <w:i/>
          <w:sz w:val="20"/>
          <w:szCs w:val="20"/>
        </w:rPr>
        <w:t>Iranian Studies</w:t>
      </w:r>
      <w:r w:rsidRPr="0022331B">
        <w:rPr>
          <w:sz w:val="20"/>
          <w:szCs w:val="20"/>
        </w:rPr>
        <w:t xml:space="preserve"> (May 2012); “Half the Household Was African:  Recovering the Histories of Two Enslaved Africans in Iran, Haji Mubarak and </w:t>
      </w:r>
      <w:proofErr w:type="spellStart"/>
      <w:r w:rsidRPr="0022331B">
        <w:rPr>
          <w:sz w:val="20"/>
          <w:szCs w:val="20"/>
        </w:rPr>
        <w:t>Fezzeh</w:t>
      </w:r>
      <w:proofErr w:type="spellEnd"/>
      <w:r w:rsidRPr="0022331B">
        <w:rPr>
          <w:sz w:val="20"/>
          <w:szCs w:val="20"/>
        </w:rPr>
        <w:t xml:space="preserve"> Khanum” in </w:t>
      </w:r>
      <w:r w:rsidRPr="0022331B">
        <w:rPr>
          <w:i/>
          <w:sz w:val="20"/>
          <w:szCs w:val="20"/>
        </w:rPr>
        <w:t>UCLA Historical Journal</w:t>
      </w:r>
      <w:r w:rsidRPr="0022331B">
        <w:rPr>
          <w:sz w:val="20"/>
          <w:szCs w:val="20"/>
        </w:rPr>
        <w:t xml:space="preserve">, vol. 26 (2016) no. 1; “Recovering the Biographies of Enslaved Africans in Nineteenth-Century Iran” in </w:t>
      </w:r>
      <w:r w:rsidRPr="0022331B">
        <w:rPr>
          <w:i/>
          <w:sz w:val="20"/>
          <w:szCs w:val="20"/>
        </w:rPr>
        <w:t>Changing Horizons of African History</w:t>
      </w:r>
      <w:r w:rsidRPr="0022331B">
        <w:rPr>
          <w:sz w:val="20"/>
          <w:szCs w:val="20"/>
        </w:rPr>
        <w:t xml:space="preserve">, ed. </w:t>
      </w:r>
      <w:proofErr w:type="spellStart"/>
      <w:r w:rsidRPr="0022331B">
        <w:rPr>
          <w:sz w:val="20"/>
          <w:szCs w:val="20"/>
        </w:rPr>
        <w:t>Awet</w:t>
      </w:r>
      <w:proofErr w:type="spellEnd"/>
      <w:r w:rsidRPr="0022331B">
        <w:rPr>
          <w:sz w:val="20"/>
          <w:szCs w:val="20"/>
        </w:rPr>
        <w:t xml:space="preserve"> T. </w:t>
      </w:r>
      <w:proofErr w:type="spellStart"/>
      <w:r w:rsidRPr="0022331B">
        <w:rPr>
          <w:sz w:val="20"/>
          <w:szCs w:val="20"/>
        </w:rPr>
        <w:t>Weldemichael</w:t>
      </w:r>
      <w:proofErr w:type="spellEnd"/>
      <w:r w:rsidRPr="0022331B">
        <w:rPr>
          <w:sz w:val="20"/>
          <w:szCs w:val="20"/>
        </w:rPr>
        <w:t xml:space="preserve">, Anthony A. Lee and Edward A. Alpers (Trenton, NJ:  Africa World Press, 2017); “Africans in the Palace:  The Testimony of Taj al-Sultana Qajar from the Royal Harem in Iran” in </w:t>
      </w:r>
      <w:r w:rsidRPr="0022331B">
        <w:rPr>
          <w:i/>
          <w:sz w:val="20"/>
          <w:szCs w:val="20"/>
        </w:rPr>
        <w:t>Islamic Slavery</w:t>
      </w:r>
      <w:r w:rsidRPr="0022331B">
        <w:rPr>
          <w:sz w:val="20"/>
          <w:szCs w:val="20"/>
        </w:rPr>
        <w:t xml:space="preserve">, ed. Mary Ann Faye (New York:  Palgrave McMillan, 2018); </w:t>
      </w:r>
      <w:r w:rsidRPr="0022331B">
        <w:rPr>
          <w:i/>
          <w:sz w:val="20"/>
          <w:szCs w:val="20"/>
        </w:rPr>
        <w:t xml:space="preserve">The Baha’i Faith in Africa:  Establishing a New Religious Movement, 1952–1962 </w:t>
      </w:r>
      <w:r w:rsidRPr="0022331B">
        <w:rPr>
          <w:sz w:val="20"/>
          <w:szCs w:val="20"/>
        </w:rPr>
        <w:t>(Leiden:  Brill, 2011) Chapter Two.</w:t>
      </w:r>
    </w:p>
  </w:footnote>
  <w:footnote w:id="2">
    <w:p w14:paraId="016B7A15" w14:textId="77777777" w:rsidR="0029228F" w:rsidRPr="0022331B" w:rsidRDefault="0029228F" w:rsidP="006816FB">
      <w:pPr>
        <w:pStyle w:val="FootnoteText"/>
        <w:rPr>
          <w:sz w:val="20"/>
          <w:szCs w:val="20"/>
        </w:rPr>
      </w:pPr>
      <w:r w:rsidRPr="0022331B">
        <w:rPr>
          <w:rStyle w:val="FootnoteReference"/>
          <w:sz w:val="22"/>
          <w:szCs w:val="20"/>
        </w:rPr>
        <w:footnoteRef/>
      </w:r>
      <w:r w:rsidRPr="0022331B">
        <w:rPr>
          <w:sz w:val="20"/>
          <w:szCs w:val="20"/>
        </w:rPr>
        <w:tab/>
        <w:t xml:space="preserve">A few recent works on the Indian Ocean slave trade are Shihan de Silva Jayasuriya and Richard Pankhurst, eds., </w:t>
      </w:r>
      <w:r w:rsidRPr="0022331B">
        <w:rPr>
          <w:i/>
          <w:sz w:val="20"/>
          <w:szCs w:val="20"/>
        </w:rPr>
        <w:t>The African Diaspora in the Indian Ocean</w:t>
      </w:r>
      <w:r w:rsidRPr="0022331B">
        <w:rPr>
          <w:sz w:val="20"/>
          <w:szCs w:val="20"/>
        </w:rPr>
        <w:t xml:space="preserve"> (Trenton, NJ:  Africa World Press, 2003); Edward A. Alpers, </w:t>
      </w:r>
      <w:r w:rsidRPr="0022331B">
        <w:rPr>
          <w:i/>
          <w:sz w:val="20"/>
          <w:szCs w:val="20"/>
        </w:rPr>
        <w:t>East Africa and the Indian Ocean</w:t>
      </w:r>
      <w:r w:rsidRPr="0022331B">
        <w:rPr>
          <w:sz w:val="20"/>
          <w:szCs w:val="20"/>
        </w:rPr>
        <w:t xml:space="preserve"> (Princeton:  Markus Wiener Publishers, 2009); Robert Harms, Bernard K. </w:t>
      </w:r>
      <w:proofErr w:type="spellStart"/>
      <w:r w:rsidRPr="0022331B">
        <w:rPr>
          <w:sz w:val="20"/>
          <w:szCs w:val="20"/>
        </w:rPr>
        <w:t>Freamon</w:t>
      </w:r>
      <w:proofErr w:type="spellEnd"/>
      <w:r w:rsidRPr="0022331B">
        <w:rPr>
          <w:sz w:val="20"/>
          <w:szCs w:val="20"/>
        </w:rPr>
        <w:t xml:space="preserve"> and David W. Blight, eds., </w:t>
      </w:r>
      <w:r w:rsidRPr="0022331B">
        <w:rPr>
          <w:i/>
          <w:sz w:val="20"/>
          <w:szCs w:val="20"/>
        </w:rPr>
        <w:t>Indian Ocean Slavery in the Age of Abolition</w:t>
      </w:r>
      <w:r w:rsidRPr="0022331B">
        <w:rPr>
          <w:sz w:val="20"/>
          <w:szCs w:val="20"/>
        </w:rPr>
        <w:t xml:space="preserve"> (New Haven:  Yale University Press, 2013); Richard Allen, </w:t>
      </w:r>
      <w:r w:rsidRPr="0022331B">
        <w:rPr>
          <w:i/>
          <w:sz w:val="20"/>
          <w:szCs w:val="20"/>
        </w:rPr>
        <w:t>European Slave Trading in the Indian Ocean, 1500–1850</w:t>
      </w:r>
      <w:r w:rsidRPr="0022331B">
        <w:rPr>
          <w:sz w:val="20"/>
          <w:szCs w:val="20"/>
        </w:rPr>
        <w:t xml:space="preserve"> (Athens: Ohio University Press, 2014).  I would add Matthew S. Hopper, </w:t>
      </w:r>
      <w:r w:rsidRPr="0022331B">
        <w:rPr>
          <w:i/>
          <w:sz w:val="20"/>
          <w:szCs w:val="20"/>
        </w:rPr>
        <w:t>Slaves of One Master:  Globalization and Slavery in Arabia in the Age of Empire</w:t>
      </w:r>
      <w:r w:rsidRPr="0022331B">
        <w:rPr>
          <w:sz w:val="20"/>
          <w:szCs w:val="20"/>
        </w:rPr>
        <w:t xml:space="preserve"> (New Haven &amp; London:  Yale University Press, 2015), and possibly Henri </w:t>
      </w:r>
      <w:proofErr w:type="spellStart"/>
      <w:r w:rsidRPr="0022331B">
        <w:rPr>
          <w:sz w:val="20"/>
          <w:szCs w:val="20"/>
        </w:rPr>
        <w:t>Médard</w:t>
      </w:r>
      <w:proofErr w:type="spellEnd"/>
      <w:r w:rsidRPr="0022331B">
        <w:rPr>
          <w:sz w:val="20"/>
          <w:szCs w:val="20"/>
        </w:rPr>
        <w:t xml:space="preserve">, Marie-Laure </w:t>
      </w:r>
      <w:proofErr w:type="spellStart"/>
      <w:r w:rsidRPr="0022331B">
        <w:rPr>
          <w:sz w:val="20"/>
          <w:szCs w:val="20"/>
        </w:rPr>
        <w:t>Derat</w:t>
      </w:r>
      <w:proofErr w:type="spellEnd"/>
      <w:r w:rsidRPr="0022331B">
        <w:rPr>
          <w:sz w:val="20"/>
          <w:szCs w:val="20"/>
        </w:rPr>
        <w:t xml:space="preserve">, Thomas Vernet and Marie Pierre </w:t>
      </w:r>
      <w:proofErr w:type="spellStart"/>
      <w:r w:rsidRPr="0022331B">
        <w:rPr>
          <w:sz w:val="20"/>
          <w:szCs w:val="20"/>
        </w:rPr>
        <w:t>Ballarin</w:t>
      </w:r>
      <w:proofErr w:type="spellEnd"/>
      <w:r w:rsidRPr="0022331B">
        <w:rPr>
          <w:sz w:val="20"/>
          <w:szCs w:val="20"/>
        </w:rPr>
        <w:t xml:space="preserve"> (eds), </w:t>
      </w:r>
      <w:proofErr w:type="spellStart"/>
      <w:r w:rsidRPr="0022331B">
        <w:rPr>
          <w:i/>
          <w:sz w:val="20"/>
          <w:szCs w:val="20"/>
        </w:rPr>
        <w:t>Traites</w:t>
      </w:r>
      <w:proofErr w:type="spellEnd"/>
      <w:r w:rsidRPr="0022331B">
        <w:rPr>
          <w:i/>
          <w:sz w:val="20"/>
          <w:szCs w:val="20"/>
        </w:rPr>
        <w:t xml:space="preserve"> et </w:t>
      </w:r>
      <w:proofErr w:type="spellStart"/>
      <w:r w:rsidRPr="0022331B">
        <w:rPr>
          <w:i/>
          <w:sz w:val="20"/>
          <w:szCs w:val="20"/>
        </w:rPr>
        <w:t>Esclavages</w:t>
      </w:r>
      <w:proofErr w:type="spellEnd"/>
      <w:r w:rsidRPr="0022331B">
        <w:rPr>
          <w:i/>
          <w:sz w:val="20"/>
          <w:szCs w:val="20"/>
        </w:rPr>
        <w:t xml:space="preserve"> </w:t>
      </w:r>
      <w:proofErr w:type="spellStart"/>
      <w:r w:rsidRPr="0022331B">
        <w:rPr>
          <w:i/>
          <w:sz w:val="20"/>
          <w:szCs w:val="20"/>
        </w:rPr>
        <w:t>en</w:t>
      </w:r>
      <w:proofErr w:type="spellEnd"/>
      <w:r w:rsidRPr="0022331B">
        <w:rPr>
          <w:i/>
          <w:sz w:val="20"/>
          <w:szCs w:val="20"/>
        </w:rPr>
        <w:t xml:space="preserve"> Afrique Orientale et dans </w:t>
      </w:r>
      <w:proofErr w:type="spellStart"/>
      <w:r w:rsidRPr="0022331B">
        <w:rPr>
          <w:i/>
          <w:sz w:val="20"/>
          <w:szCs w:val="20"/>
        </w:rPr>
        <w:t>l’océan</w:t>
      </w:r>
      <w:proofErr w:type="spellEnd"/>
      <w:r w:rsidRPr="0022331B">
        <w:rPr>
          <w:i/>
          <w:sz w:val="20"/>
          <w:szCs w:val="20"/>
        </w:rPr>
        <w:t xml:space="preserve"> </w:t>
      </w:r>
      <w:proofErr w:type="spellStart"/>
      <w:r w:rsidRPr="0022331B">
        <w:rPr>
          <w:i/>
          <w:sz w:val="20"/>
          <w:szCs w:val="20"/>
        </w:rPr>
        <w:t>Indien</w:t>
      </w:r>
      <w:proofErr w:type="spellEnd"/>
      <w:r w:rsidRPr="0022331B">
        <w:rPr>
          <w:sz w:val="20"/>
          <w:szCs w:val="20"/>
        </w:rPr>
        <w:t xml:space="preserve"> (Paris:  Karthala, 2013).</w:t>
      </w:r>
    </w:p>
  </w:footnote>
  <w:footnote w:id="3">
    <w:p w14:paraId="13372138" w14:textId="77777777" w:rsidR="0029228F" w:rsidRPr="0022331B" w:rsidRDefault="0029228F" w:rsidP="006816FB">
      <w:pPr>
        <w:pStyle w:val="FootnoteText"/>
        <w:rPr>
          <w:rFonts w:ascii="Times New Roman" w:hAnsi="Times New Roman"/>
          <w:sz w:val="20"/>
          <w:szCs w:val="22"/>
        </w:rPr>
      </w:pPr>
      <w:r w:rsidRPr="0022331B">
        <w:rPr>
          <w:rStyle w:val="FootnoteReference"/>
          <w:sz w:val="22"/>
          <w:szCs w:val="20"/>
        </w:rPr>
        <w:footnoteRef/>
      </w:r>
      <w:r w:rsidRPr="0022331B">
        <w:rPr>
          <w:sz w:val="20"/>
          <w:szCs w:val="20"/>
        </w:rPr>
        <w:tab/>
        <w:t xml:space="preserve">Paul E. Lovejoy, </w:t>
      </w:r>
      <w:r w:rsidRPr="0022331B">
        <w:rPr>
          <w:i/>
          <w:sz w:val="20"/>
          <w:szCs w:val="20"/>
        </w:rPr>
        <w:t xml:space="preserve">Transformations in </w:t>
      </w:r>
      <w:r w:rsidRPr="0022331B">
        <w:rPr>
          <w:i/>
          <w:iCs w:val="0"/>
          <w:sz w:val="20"/>
          <w:szCs w:val="20"/>
        </w:rPr>
        <w:t>Slavery</w:t>
      </w:r>
      <w:r w:rsidRPr="0022331B">
        <w:rPr>
          <w:sz w:val="20"/>
          <w:szCs w:val="20"/>
        </w:rPr>
        <w:t xml:space="preserve">, Third Edition (Cambridge University Press, 2012) 60–61, 150–54; Joseph C. Miller, “Introduction”, in Gwyn Campbell, Suzanne </w:t>
      </w:r>
      <w:proofErr w:type="spellStart"/>
      <w:r w:rsidRPr="0022331B">
        <w:rPr>
          <w:sz w:val="20"/>
          <w:szCs w:val="20"/>
        </w:rPr>
        <w:t>Miers</w:t>
      </w:r>
      <w:proofErr w:type="spellEnd"/>
      <w:r w:rsidRPr="0022331B">
        <w:rPr>
          <w:sz w:val="20"/>
          <w:szCs w:val="20"/>
        </w:rPr>
        <w:t xml:space="preserve"> and Joseph Calder Miller, </w:t>
      </w:r>
      <w:r w:rsidRPr="0022331B">
        <w:rPr>
          <w:i/>
          <w:sz w:val="20"/>
          <w:szCs w:val="20"/>
        </w:rPr>
        <w:t xml:space="preserve">Women </w:t>
      </w:r>
      <w:proofErr w:type="gramStart"/>
      <w:r w:rsidRPr="0022331B">
        <w:rPr>
          <w:i/>
          <w:sz w:val="20"/>
          <w:szCs w:val="20"/>
        </w:rPr>
        <w:t>And</w:t>
      </w:r>
      <w:proofErr w:type="gramEnd"/>
      <w:r w:rsidRPr="0022331B">
        <w:rPr>
          <w:i/>
          <w:sz w:val="20"/>
          <w:szCs w:val="20"/>
        </w:rPr>
        <w:t xml:space="preserve"> Slavery:  Africa And the Western Indian Ocean World, and the Medieval North Atlantic. </w:t>
      </w:r>
      <w:r w:rsidRPr="0022331B">
        <w:rPr>
          <w:sz w:val="20"/>
          <w:szCs w:val="20"/>
        </w:rPr>
        <w:t xml:space="preserve">vol. 1 (Ohio University Press, 2007) 4–5; Helge </w:t>
      </w:r>
      <w:proofErr w:type="spellStart"/>
      <w:r w:rsidRPr="0022331B">
        <w:rPr>
          <w:sz w:val="20"/>
          <w:szCs w:val="20"/>
        </w:rPr>
        <w:t>Kjekshus</w:t>
      </w:r>
      <w:proofErr w:type="spellEnd"/>
      <w:r w:rsidRPr="0022331B">
        <w:rPr>
          <w:sz w:val="20"/>
          <w:szCs w:val="20"/>
        </w:rPr>
        <w:t xml:space="preserve">, </w:t>
      </w:r>
      <w:r w:rsidRPr="0022331B">
        <w:rPr>
          <w:i/>
          <w:sz w:val="20"/>
          <w:szCs w:val="20"/>
        </w:rPr>
        <w:t>Ecological Control and Development in Eastern Africa</w:t>
      </w:r>
      <w:r w:rsidRPr="0022331B">
        <w:rPr>
          <w:sz w:val="20"/>
          <w:szCs w:val="20"/>
        </w:rPr>
        <w:t xml:space="preserve"> (Nairobi: Longmans, 1979) 14–16; Gwyn Campbell, introduction to </w:t>
      </w:r>
      <w:r w:rsidRPr="0022331B">
        <w:rPr>
          <w:i/>
          <w:sz w:val="20"/>
          <w:szCs w:val="20"/>
        </w:rPr>
        <w:t>Abolition and Its Aftermath in Indian Ocean, Africa and Asia</w:t>
      </w:r>
      <w:r w:rsidRPr="0022331B">
        <w:rPr>
          <w:sz w:val="20"/>
          <w:szCs w:val="20"/>
        </w:rPr>
        <w:t xml:space="preserve"> (London:  Routledge, 2005) 5; Gwyn Campbell, </w:t>
      </w:r>
      <w:r w:rsidRPr="0022331B">
        <w:rPr>
          <w:i/>
          <w:sz w:val="20"/>
          <w:szCs w:val="20"/>
        </w:rPr>
        <w:t>Structure of Slavery in Indian Ocean Africa and Asia</w:t>
      </w:r>
      <w:r w:rsidRPr="0022331B">
        <w:rPr>
          <w:sz w:val="20"/>
          <w:szCs w:val="20"/>
        </w:rPr>
        <w:t xml:space="preserve"> (London:  Frank Cass, </w:t>
      </w:r>
      <w:r w:rsidRPr="0022331B">
        <w:rPr>
          <w:rFonts w:ascii="Times New Roman" w:hAnsi="Times New Roman"/>
          <w:sz w:val="20"/>
          <w:szCs w:val="22"/>
        </w:rPr>
        <w:t xml:space="preserve">2004) xi.  For a discussion of the number of enslaved people imported into Iran in the nineteenth-century, see </w:t>
      </w:r>
      <w:proofErr w:type="spellStart"/>
      <w:r w:rsidRPr="0022331B">
        <w:rPr>
          <w:rFonts w:ascii="Times New Roman" w:hAnsi="Times New Roman"/>
          <w:sz w:val="20"/>
          <w:szCs w:val="22"/>
        </w:rPr>
        <w:t>Mirzai</w:t>
      </w:r>
      <w:proofErr w:type="spellEnd"/>
      <w:r w:rsidRPr="0022331B">
        <w:rPr>
          <w:rFonts w:ascii="Times New Roman" w:hAnsi="Times New Roman"/>
          <w:sz w:val="20"/>
          <w:szCs w:val="22"/>
        </w:rPr>
        <w:t xml:space="preserve">, </w:t>
      </w:r>
      <w:r w:rsidRPr="0022331B">
        <w:rPr>
          <w:rFonts w:ascii="Times New Roman" w:hAnsi="Times New Roman"/>
          <w:i/>
          <w:sz w:val="20"/>
          <w:szCs w:val="22"/>
        </w:rPr>
        <w:t>History of Slavery</w:t>
      </w:r>
      <w:r w:rsidRPr="0022331B">
        <w:rPr>
          <w:rFonts w:ascii="Times New Roman" w:hAnsi="Times New Roman"/>
          <w:sz w:val="20"/>
          <w:szCs w:val="22"/>
        </w:rPr>
        <w:t>, 63–66.</w:t>
      </w:r>
    </w:p>
  </w:footnote>
  <w:footnote w:id="4">
    <w:p w14:paraId="45020D8D" w14:textId="77777777" w:rsidR="0029228F" w:rsidRPr="0022331B" w:rsidRDefault="0029228F" w:rsidP="006816FB">
      <w:pPr>
        <w:pStyle w:val="FootnoteText"/>
        <w:rPr>
          <w:rFonts w:ascii="Times New Roman" w:hAnsi="Times New Roman"/>
          <w:sz w:val="20"/>
          <w:szCs w:val="20"/>
        </w:rPr>
      </w:pPr>
      <w:r w:rsidRPr="0022331B">
        <w:rPr>
          <w:rStyle w:val="FootnoteReference"/>
          <w:sz w:val="22"/>
          <w:szCs w:val="22"/>
        </w:rPr>
        <w:footnoteRef/>
      </w:r>
      <w:r w:rsidRPr="0022331B">
        <w:rPr>
          <w:sz w:val="20"/>
          <w:szCs w:val="20"/>
        </w:rPr>
        <w:tab/>
        <w:t xml:space="preserve">Thomas Ricks, “Slaves and Slave Trading in Shi’i Iran, </w:t>
      </w:r>
      <w:r w:rsidRPr="0022331B">
        <w:rPr>
          <w:smallCaps/>
          <w:sz w:val="20"/>
          <w:szCs w:val="20"/>
        </w:rPr>
        <w:t>ad</w:t>
      </w:r>
      <w:r w:rsidRPr="0022331B">
        <w:rPr>
          <w:sz w:val="20"/>
          <w:szCs w:val="20"/>
        </w:rPr>
        <w:t xml:space="preserve"> 1500–1900”, </w:t>
      </w:r>
      <w:r w:rsidRPr="0022331B">
        <w:rPr>
          <w:i/>
          <w:sz w:val="20"/>
          <w:szCs w:val="20"/>
        </w:rPr>
        <w:t xml:space="preserve">Journal of Asian and </w:t>
      </w:r>
      <w:r w:rsidRPr="0022331B">
        <w:rPr>
          <w:rFonts w:ascii="Times New Roman" w:eastAsia="TimesNewRomanPSMT" w:hAnsi="Times New Roman"/>
          <w:i/>
          <w:sz w:val="20"/>
          <w:szCs w:val="22"/>
        </w:rPr>
        <w:t xml:space="preserve">African </w:t>
      </w:r>
      <w:r w:rsidRPr="0022331B">
        <w:rPr>
          <w:rFonts w:ascii="Times New Roman" w:eastAsia="TimesNewRomanPSMT" w:hAnsi="Times New Roman"/>
          <w:sz w:val="20"/>
          <w:szCs w:val="22"/>
        </w:rPr>
        <w:t>Studies 36, no. 4 (2001) 407–418.</w:t>
      </w:r>
      <w:r w:rsidRPr="0022331B">
        <w:rPr>
          <w:rFonts w:ascii="TimesNewRomanPSMT" w:eastAsia="TimesNewRomanPSMT" w:hAnsiTheme="minorHAnsi" w:cs="TimesNewRomanPSMT"/>
          <w:sz w:val="19"/>
          <w:szCs w:val="19"/>
        </w:rPr>
        <w:t xml:space="preserve">  </w:t>
      </w:r>
      <w:r w:rsidRPr="0022331B">
        <w:rPr>
          <w:rFonts w:ascii="Times New Roman" w:hAnsi="Times New Roman"/>
          <w:sz w:val="20"/>
          <w:szCs w:val="20"/>
        </w:rPr>
        <w:t>Still, I am highly suspicious of the census category ‘household servants’ in this context.  The importation of slaves (at least by sea) had been formally outlawed by the Iranian government in 1848, but shipments of enslaved Africans had continued from East Africa and even increased.  Under such circumstances it may have been prudent for the wealthy to refer to their African slaves as ‘household servants’, especially in official matters like a census.  It may have been even more prudent for the Iranian government to refer to household slaves in public documents like a census, an ambiguous designation that would attract a minimum of foreign scrutiny and condemnation.</w:t>
      </w:r>
    </w:p>
  </w:footnote>
  <w:footnote w:id="5">
    <w:p w14:paraId="7ACEC601" w14:textId="77777777" w:rsidR="0029228F" w:rsidRPr="0022331B" w:rsidRDefault="0029228F" w:rsidP="00AC27A9">
      <w:pPr>
        <w:pStyle w:val="FootnoteText"/>
        <w:rPr>
          <w:rFonts w:ascii="Times New Roman" w:hAnsi="Times New Roman"/>
          <w:sz w:val="20"/>
          <w:szCs w:val="20"/>
        </w:rPr>
      </w:pPr>
      <w:r w:rsidRPr="0022331B">
        <w:rPr>
          <w:rStyle w:val="FootnoteReference"/>
          <w:rFonts w:ascii="Times New Roman" w:hAnsi="Times New Roman"/>
          <w:sz w:val="22"/>
          <w:szCs w:val="20"/>
        </w:rPr>
        <w:footnoteRef/>
      </w:r>
      <w:r w:rsidRPr="0022331B">
        <w:rPr>
          <w:sz w:val="20"/>
          <w:szCs w:val="20"/>
        </w:rPr>
        <w:tab/>
        <w:t>Ricks, “Slaves and Slave Trading in Shi’i Iran”.</w:t>
      </w:r>
    </w:p>
  </w:footnote>
  <w:footnote w:id="6">
    <w:p w14:paraId="698F0C8C" w14:textId="77777777" w:rsidR="0029228F" w:rsidRPr="0022331B" w:rsidRDefault="0029228F" w:rsidP="007F2449">
      <w:pPr>
        <w:pStyle w:val="FootnoteText"/>
        <w:rPr>
          <w:sz w:val="20"/>
          <w:szCs w:val="20"/>
        </w:rPr>
      </w:pPr>
      <w:r w:rsidRPr="0022331B">
        <w:rPr>
          <w:rStyle w:val="FootnoteReference"/>
          <w:sz w:val="22"/>
          <w:szCs w:val="20"/>
        </w:rPr>
        <w:footnoteRef/>
      </w:r>
      <w:r w:rsidRPr="0022331B">
        <w:rPr>
          <w:sz w:val="20"/>
          <w:szCs w:val="20"/>
        </w:rPr>
        <w:tab/>
        <w:t xml:space="preserve">For a brief discussion of domestic slavery in Iran, see Abbas Amanat. </w:t>
      </w:r>
      <w:r w:rsidRPr="0022331B">
        <w:rPr>
          <w:i/>
          <w:sz w:val="20"/>
          <w:szCs w:val="20"/>
        </w:rPr>
        <w:t>Iran:  A Modern History</w:t>
      </w:r>
      <w:r w:rsidRPr="0022331B">
        <w:rPr>
          <w:sz w:val="20"/>
          <w:szCs w:val="20"/>
        </w:rPr>
        <w:t xml:space="preserve"> (New Haven:  Yale University Press, 2017).  It is probable that cities in the southern part of Iran, during this period, such as Shiraz or Bandar Abbas, would have had an even higher percentage of African slaves, being closer to the ports of import.  However, Tehran may not have been so different in this regard from other world capital cities.  The percentage of black populations of both London and Lisbon during the mid-nineteenth century were probably similar.  The black population of Lisbon may have been as high as 20%.  </w:t>
      </w:r>
      <w:proofErr w:type="spellStart"/>
      <w:r w:rsidRPr="0022331B">
        <w:rPr>
          <w:sz w:val="20"/>
          <w:szCs w:val="20"/>
          <w:lang w:val="es-ES_tradnl"/>
        </w:rPr>
        <w:t>See</w:t>
      </w:r>
      <w:proofErr w:type="spellEnd"/>
      <w:r w:rsidRPr="0022331B">
        <w:rPr>
          <w:sz w:val="20"/>
          <w:szCs w:val="20"/>
          <w:lang w:val="es-ES_tradnl"/>
        </w:rPr>
        <w:t xml:space="preserve">, </w:t>
      </w:r>
      <w:proofErr w:type="spellStart"/>
      <w:r w:rsidRPr="0022331B">
        <w:rPr>
          <w:sz w:val="20"/>
          <w:szCs w:val="20"/>
          <w:lang w:val="es-ES_tradnl"/>
        </w:rPr>
        <w:t>for</w:t>
      </w:r>
      <w:proofErr w:type="spellEnd"/>
      <w:r w:rsidRPr="0022331B">
        <w:rPr>
          <w:sz w:val="20"/>
          <w:szCs w:val="20"/>
          <w:lang w:val="es-ES_tradnl"/>
        </w:rPr>
        <w:t xml:space="preserve"> </w:t>
      </w:r>
      <w:proofErr w:type="spellStart"/>
      <w:r w:rsidRPr="0022331B">
        <w:rPr>
          <w:sz w:val="20"/>
          <w:szCs w:val="20"/>
          <w:lang w:val="es-ES_tradnl"/>
        </w:rPr>
        <w:t>example</w:t>
      </w:r>
      <w:proofErr w:type="spellEnd"/>
      <w:r w:rsidRPr="0022331B">
        <w:rPr>
          <w:sz w:val="20"/>
          <w:szCs w:val="20"/>
          <w:lang w:val="es-ES_tradnl"/>
        </w:rPr>
        <w:t xml:space="preserve">, </w:t>
      </w:r>
      <w:r w:rsidRPr="0022331B">
        <w:rPr>
          <w:i/>
          <w:sz w:val="20"/>
          <w:szCs w:val="20"/>
          <w:lang w:val="es-ES_tradnl"/>
        </w:rPr>
        <w:t xml:space="preserve">Os Negros em Portugal:  </w:t>
      </w:r>
      <w:proofErr w:type="spellStart"/>
      <w:r w:rsidRPr="0022331B">
        <w:rPr>
          <w:i/>
          <w:sz w:val="20"/>
          <w:szCs w:val="20"/>
          <w:lang w:val="es-ES_tradnl"/>
        </w:rPr>
        <w:t>sécs</w:t>
      </w:r>
      <w:proofErr w:type="spellEnd"/>
      <w:r w:rsidRPr="0022331B">
        <w:rPr>
          <w:i/>
          <w:sz w:val="20"/>
          <w:szCs w:val="20"/>
          <w:lang w:val="es-ES_tradnl"/>
        </w:rPr>
        <w:t>. XV a XIX</w:t>
      </w:r>
      <w:r w:rsidRPr="0022331B">
        <w:rPr>
          <w:sz w:val="20"/>
          <w:szCs w:val="20"/>
          <w:lang w:val="es-ES_tradnl"/>
        </w:rPr>
        <w:t xml:space="preserve">:  </w:t>
      </w:r>
      <w:proofErr w:type="spellStart"/>
      <w:r w:rsidRPr="0022331B">
        <w:rPr>
          <w:sz w:val="20"/>
          <w:szCs w:val="20"/>
          <w:lang w:val="es-ES_tradnl"/>
        </w:rPr>
        <w:t>Mosteiro</w:t>
      </w:r>
      <w:proofErr w:type="spellEnd"/>
      <w:r w:rsidRPr="0022331B">
        <w:rPr>
          <w:sz w:val="20"/>
          <w:szCs w:val="20"/>
          <w:lang w:val="es-ES_tradnl"/>
        </w:rPr>
        <w:t xml:space="preserve"> dos </w:t>
      </w:r>
      <w:proofErr w:type="spellStart"/>
      <w:r w:rsidRPr="0022331B">
        <w:rPr>
          <w:sz w:val="20"/>
          <w:szCs w:val="20"/>
          <w:lang w:val="es-ES_tradnl"/>
        </w:rPr>
        <w:t>Jeronimo</w:t>
      </w:r>
      <w:proofErr w:type="spellEnd"/>
      <w:r w:rsidRPr="0022331B">
        <w:rPr>
          <w:sz w:val="20"/>
          <w:szCs w:val="20"/>
          <w:lang w:val="es-ES_tradnl"/>
        </w:rPr>
        <w:t xml:space="preserve">. </w:t>
      </w:r>
      <w:proofErr w:type="spellStart"/>
      <w:r w:rsidRPr="0022331B">
        <w:rPr>
          <w:sz w:val="20"/>
          <w:szCs w:val="20"/>
        </w:rPr>
        <w:t>Setembro</w:t>
      </w:r>
      <w:proofErr w:type="spellEnd"/>
      <w:r w:rsidRPr="0022331B">
        <w:rPr>
          <w:sz w:val="20"/>
          <w:szCs w:val="20"/>
        </w:rPr>
        <w:t xml:space="preserve"> de 1999 a 24 de Janeiro de 2000 (Lisbon:  </w:t>
      </w:r>
      <w:proofErr w:type="spellStart"/>
      <w:r w:rsidRPr="0022331B">
        <w:rPr>
          <w:sz w:val="20"/>
          <w:szCs w:val="20"/>
        </w:rPr>
        <w:t>Commisão</w:t>
      </w:r>
      <w:proofErr w:type="spellEnd"/>
      <w:r w:rsidRPr="0022331B">
        <w:rPr>
          <w:sz w:val="20"/>
          <w:szCs w:val="20"/>
        </w:rPr>
        <w:t xml:space="preserve"> Nacional para as </w:t>
      </w:r>
      <w:proofErr w:type="spellStart"/>
      <w:r w:rsidRPr="0022331B">
        <w:rPr>
          <w:sz w:val="20"/>
          <w:szCs w:val="20"/>
        </w:rPr>
        <w:t>comemoracões</w:t>
      </w:r>
      <w:proofErr w:type="spellEnd"/>
      <w:r w:rsidRPr="0022331B">
        <w:rPr>
          <w:sz w:val="20"/>
          <w:szCs w:val="20"/>
        </w:rPr>
        <w:t xml:space="preserve"> dos </w:t>
      </w:r>
      <w:proofErr w:type="spellStart"/>
      <w:r w:rsidRPr="0022331B">
        <w:rPr>
          <w:sz w:val="20"/>
          <w:szCs w:val="20"/>
        </w:rPr>
        <w:t>descobrimentos</w:t>
      </w:r>
      <w:proofErr w:type="spellEnd"/>
      <w:r w:rsidRPr="0022331B">
        <w:rPr>
          <w:sz w:val="20"/>
          <w:szCs w:val="20"/>
        </w:rPr>
        <w:t xml:space="preserve">, 1999); </w:t>
      </w:r>
      <w:r w:rsidRPr="0022331B">
        <w:rPr>
          <w:rStyle w:val="apple-style-span"/>
          <w:rFonts w:ascii="Times New Roman" w:hAnsi="Times New Roman"/>
          <w:color w:val="000000"/>
          <w:sz w:val="20"/>
          <w:szCs w:val="22"/>
        </w:rPr>
        <w:t xml:space="preserve">A.P.D.G. </w:t>
      </w:r>
      <w:r w:rsidRPr="0022331B">
        <w:rPr>
          <w:rStyle w:val="apple-style-span"/>
          <w:rFonts w:ascii="Times New Roman" w:hAnsi="Times New Roman"/>
          <w:i/>
          <w:color w:val="000000"/>
          <w:sz w:val="20"/>
          <w:szCs w:val="22"/>
        </w:rPr>
        <w:t>Sketches of Portuguese Life, Manners, Costume, and Character</w:t>
      </w:r>
      <w:r w:rsidRPr="0022331B">
        <w:rPr>
          <w:rStyle w:val="apple-style-span"/>
          <w:rFonts w:ascii="Times New Roman" w:hAnsi="Times New Roman"/>
          <w:color w:val="000000"/>
          <w:sz w:val="20"/>
          <w:szCs w:val="22"/>
        </w:rPr>
        <w:t xml:space="preserve"> (London:  G. B. Whittaker/R. Gilbert, 1826); </w:t>
      </w:r>
      <w:r w:rsidRPr="0022331B">
        <w:rPr>
          <w:rFonts w:ascii="Times New Roman" w:hAnsi="Times New Roman"/>
          <w:color w:val="000000"/>
          <w:sz w:val="20"/>
          <w:szCs w:val="22"/>
        </w:rPr>
        <w:t xml:space="preserve">Peter Fryer, </w:t>
      </w:r>
      <w:r w:rsidRPr="0022331B">
        <w:rPr>
          <w:rFonts w:ascii="Times New Roman" w:hAnsi="Times New Roman"/>
          <w:i/>
          <w:color w:val="000000"/>
          <w:sz w:val="20"/>
          <w:szCs w:val="22"/>
        </w:rPr>
        <w:t>Staying Power:  The History of Black People in Britain</w:t>
      </w:r>
      <w:r w:rsidRPr="0022331B">
        <w:rPr>
          <w:rFonts w:ascii="Times New Roman" w:hAnsi="Times New Roman"/>
          <w:color w:val="000000"/>
          <w:sz w:val="20"/>
          <w:szCs w:val="22"/>
        </w:rPr>
        <w:t xml:space="preserve"> (Sterling, VA:  Pluto Press, 1984)</w:t>
      </w:r>
      <w:r w:rsidRPr="0022331B">
        <w:rPr>
          <w:rFonts w:ascii="Times New Roman" w:hAnsi="Times New Roman"/>
          <w:sz w:val="20"/>
          <w:szCs w:val="22"/>
        </w:rPr>
        <w:t>.</w:t>
      </w:r>
      <w:r w:rsidRPr="0022331B">
        <w:rPr>
          <w:sz w:val="20"/>
          <w:szCs w:val="20"/>
        </w:rPr>
        <w:t xml:space="preserve">  I am grateful to Dr Edward Alpers and Dr Gregory </w:t>
      </w:r>
      <w:proofErr w:type="spellStart"/>
      <w:r w:rsidRPr="0022331B">
        <w:rPr>
          <w:sz w:val="20"/>
          <w:szCs w:val="20"/>
        </w:rPr>
        <w:t>Pirio</w:t>
      </w:r>
      <w:proofErr w:type="spellEnd"/>
      <w:r w:rsidRPr="0022331B">
        <w:rPr>
          <w:sz w:val="20"/>
          <w:szCs w:val="20"/>
        </w:rPr>
        <w:t xml:space="preserve"> for this information.</w:t>
      </w:r>
    </w:p>
  </w:footnote>
  <w:footnote w:id="7">
    <w:p w14:paraId="2FE13E30" w14:textId="77777777" w:rsidR="00F76449" w:rsidRPr="0022331B" w:rsidRDefault="00F76449" w:rsidP="00F76449">
      <w:pPr>
        <w:pStyle w:val="FootnoteText"/>
        <w:rPr>
          <w:sz w:val="20"/>
          <w:szCs w:val="20"/>
          <w:lang w:val="en-US"/>
        </w:rPr>
      </w:pPr>
      <w:r w:rsidRPr="0022331B">
        <w:rPr>
          <w:rStyle w:val="FootnoteReference"/>
          <w:sz w:val="22"/>
          <w:szCs w:val="20"/>
        </w:rPr>
        <w:footnoteRef/>
      </w:r>
      <w:r w:rsidRPr="0022331B">
        <w:rPr>
          <w:sz w:val="20"/>
          <w:szCs w:val="20"/>
        </w:rPr>
        <w:tab/>
      </w:r>
      <w:proofErr w:type="spellStart"/>
      <w:r w:rsidRPr="0022331B">
        <w:rPr>
          <w:sz w:val="20"/>
          <w:szCs w:val="20"/>
        </w:rPr>
        <w:t>Zíbá-</w:t>
      </w:r>
      <w:r w:rsidRPr="0022331B">
        <w:rPr>
          <w:sz w:val="20"/>
          <w:szCs w:val="20"/>
          <w:u w:val="single"/>
        </w:rPr>
        <w:t>ch</w:t>
      </w:r>
      <w:r w:rsidRPr="0022331B">
        <w:rPr>
          <w:sz w:val="20"/>
          <w:szCs w:val="20"/>
        </w:rPr>
        <w:t>ihr</w:t>
      </w:r>
      <w:proofErr w:type="spellEnd"/>
      <w:r w:rsidRPr="0022331B">
        <w:rPr>
          <w:sz w:val="20"/>
          <w:szCs w:val="20"/>
        </w:rPr>
        <w:t xml:space="preserve"> </w:t>
      </w:r>
      <w:proofErr w:type="spellStart"/>
      <w:r w:rsidRPr="0022331B">
        <w:rPr>
          <w:sz w:val="20"/>
          <w:szCs w:val="20"/>
          <w:u w:val="single"/>
        </w:rPr>
        <w:t>Kh</w:t>
      </w:r>
      <w:r w:rsidRPr="0022331B">
        <w:rPr>
          <w:sz w:val="20"/>
          <w:szCs w:val="20"/>
        </w:rPr>
        <w:t>ánum</w:t>
      </w:r>
      <w:proofErr w:type="spellEnd"/>
      <w:r w:rsidRPr="0022331B">
        <w:rPr>
          <w:sz w:val="20"/>
          <w:szCs w:val="20"/>
        </w:rPr>
        <w:t xml:space="preserve"> (d. 1932).</w:t>
      </w:r>
    </w:p>
  </w:footnote>
  <w:footnote w:id="8">
    <w:p w14:paraId="6F1B7D6B" w14:textId="77777777" w:rsidR="0029228F" w:rsidRPr="0022331B" w:rsidRDefault="0029228F" w:rsidP="007F2449">
      <w:pPr>
        <w:pStyle w:val="FootnoteText"/>
        <w:rPr>
          <w:sz w:val="20"/>
          <w:szCs w:val="20"/>
        </w:rPr>
      </w:pPr>
      <w:r w:rsidRPr="0022331B">
        <w:rPr>
          <w:rStyle w:val="FootnoteReference"/>
          <w:sz w:val="22"/>
          <w:szCs w:val="20"/>
        </w:rPr>
        <w:footnoteRef/>
      </w:r>
      <w:r w:rsidRPr="0022331B">
        <w:rPr>
          <w:sz w:val="20"/>
          <w:szCs w:val="20"/>
        </w:rPr>
        <w:tab/>
        <w:t>The only written record that I have been able to find that mentions her is on the manuscript family tree created by a distant relative that will be discussed below.</w:t>
      </w:r>
    </w:p>
  </w:footnote>
  <w:footnote w:id="9">
    <w:p w14:paraId="0CA764BD" w14:textId="77777777" w:rsidR="0029228F" w:rsidRPr="0022331B" w:rsidRDefault="0029228F" w:rsidP="007F2449">
      <w:pPr>
        <w:pStyle w:val="FootnoteText"/>
        <w:rPr>
          <w:sz w:val="20"/>
          <w:szCs w:val="20"/>
        </w:rPr>
      </w:pPr>
      <w:r w:rsidRPr="0022331B">
        <w:rPr>
          <w:rStyle w:val="FootnoteReference"/>
          <w:sz w:val="22"/>
          <w:szCs w:val="20"/>
        </w:rPr>
        <w:footnoteRef/>
      </w:r>
      <w:r w:rsidRPr="0022331B">
        <w:rPr>
          <w:sz w:val="20"/>
          <w:szCs w:val="20"/>
        </w:rPr>
        <w:tab/>
        <w:t xml:space="preserve">Interviews with Jalil </w:t>
      </w:r>
      <w:proofErr w:type="spellStart"/>
      <w:r w:rsidRPr="0022331B">
        <w:rPr>
          <w:sz w:val="20"/>
          <w:szCs w:val="20"/>
        </w:rPr>
        <w:t>Taqizadeh</w:t>
      </w:r>
      <w:proofErr w:type="spellEnd"/>
      <w:r w:rsidRPr="0022331B">
        <w:rPr>
          <w:sz w:val="20"/>
          <w:szCs w:val="20"/>
        </w:rPr>
        <w:t xml:space="preserve">, Los Angeles, 4/7/17, and by phone from Los Angeles, 11/14/17 and 1/9/18; interview with Monir </w:t>
      </w:r>
      <w:proofErr w:type="spellStart"/>
      <w:r w:rsidRPr="0022331B">
        <w:rPr>
          <w:sz w:val="20"/>
          <w:szCs w:val="20"/>
        </w:rPr>
        <w:t>Ardekani</w:t>
      </w:r>
      <w:proofErr w:type="spellEnd"/>
      <w:r w:rsidRPr="0022331B">
        <w:rPr>
          <w:sz w:val="20"/>
          <w:szCs w:val="20"/>
        </w:rPr>
        <w:t xml:space="preserve">, by phone from Vancouver, 9/29/17; interview with Shahnaz </w:t>
      </w:r>
      <w:proofErr w:type="spellStart"/>
      <w:r w:rsidRPr="0022331B">
        <w:rPr>
          <w:sz w:val="20"/>
          <w:szCs w:val="20"/>
        </w:rPr>
        <w:t>Khorasani</w:t>
      </w:r>
      <w:proofErr w:type="spellEnd"/>
      <w:r w:rsidRPr="0022331B">
        <w:rPr>
          <w:sz w:val="20"/>
          <w:szCs w:val="20"/>
        </w:rPr>
        <w:t>, by phone from Peekskill, NY, 10/19/17 and in Peekskill, NY, 11/18/17.  Dr Mehrdad Amanat has conducted interviews with the same informants.</w:t>
      </w:r>
    </w:p>
  </w:footnote>
  <w:footnote w:id="10">
    <w:p w14:paraId="0CD06BAC" w14:textId="77777777" w:rsidR="0029228F" w:rsidRPr="0022331B" w:rsidRDefault="0029228F" w:rsidP="007F2449">
      <w:pPr>
        <w:pStyle w:val="FootnoteText"/>
        <w:rPr>
          <w:sz w:val="20"/>
          <w:szCs w:val="20"/>
        </w:rPr>
      </w:pPr>
      <w:r w:rsidRPr="0022331B">
        <w:rPr>
          <w:rStyle w:val="FootnoteReference"/>
          <w:sz w:val="22"/>
          <w:szCs w:val="20"/>
        </w:rPr>
        <w:footnoteRef/>
      </w:r>
      <w:r w:rsidRPr="0022331B">
        <w:rPr>
          <w:sz w:val="20"/>
          <w:szCs w:val="20"/>
        </w:rPr>
        <w:tab/>
        <w:t xml:space="preserve">This would make a difference, since, as commodities, slaves were classified by country of origin.  Lady Mary </w:t>
      </w:r>
      <w:proofErr w:type="spellStart"/>
      <w:r w:rsidRPr="0022331B">
        <w:rPr>
          <w:sz w:val="20"/>
          <w:szCs w:val="20"/>
        </w:rPr>
        <w:t>Sheil</w:t>
      </w:r>
      <w:proofErr w:type="spellEnd"/>
      <w:r w:rsidRPr="0022331B">
        <w:rPr>
          <w:sz w:val="20"/>
          <w:szCs w:val="20"/>
        </w:rPr>
        <w:t xml:space="preserve">, a nineteenth-century </w:t>
      </w:r>
      <w:proofErr w:type="spellStart"/>
      <w:r w:rsidRPr="0022331B">
        <w:rPr>
          <w:sz w:val="20"/>
          <w:szCs w:val="20"/>
        </w:rPr>
        <w:t>traveler</w:t>
      </w:r>
      <w:proofErr w:type="spellEnd"/>
      <w:r w:rsidRPr="0022331B">
        <w:rPr>
          <w:sz w:val="20"/>
          <w:szCs w:val="20"/>
        </w:rPr>
        <w:t xml:space="preserve"> to Iran, noted that African slaves were divided into three types</w:t>
      </w:r>
      <w:proofErr w:type="gramStart"/>
      <w:r w:rsidRPr="0022331B">
        <w:rPr>
          <w:sz w:val="20"/>
          <w:szCs w:val="20"/>
        </w:rPr>
        <w:t>:  “</w:t>
      </w:r>
      <w:proofErr w:type="spellStart"/>
      <w:proofErr w:type="gramEnd"/>
      <w:r w:rsidRPr="0022331B">
        <w:rPr>
          <w:sz w:val="20"/>
          <w:szCs w:val="20"/>
        </w:rPr>
        <w:t>Bambassees</w:t>
      </w:r>
      <w:proofErr w:type="spellEnd"/>
      <w:r w:rsidRPr="0022331B">
        <w:rPr>
          <w:sz w:val="20"/>
          <w:szCs w:val="20"/>
        </w:rPr>
        <w:t xml:space="preserve">, </w:t>
      </w:r>
      <w:proofErr w:type="spellStart"/>
      <w:r w:rsidRPr="0022331B">
        <w:rPr>
          <w:sz w:val="20"/>
          <w:szCs w:val="20"/>
        </w:rPr>
        <w:t>Nubees</w:t>
      </w:r>
      <w:proofErr w:type="spellEnd"/>
      <w:r w:rsidRPr="0022331B">
        <w:rPr>
          <w:sz w:val="20"/>
          <w:szCs w:val="20"/>
        </w:rPr>
        <w:t xml:space="preserve">, and </w:t>
      </w:r>
      <w:proofErr w:type="spellStart"/>
      <w:r w:rsidRPr="0022331B">
        <w:rPr>
          <w:sz w:val="20"/>
          <w:szCs w:val="20"/>
        </w:rPr>
        <w:t>Habeshees</w:t>
      </w:r>
      <w:proofErr w:type="spellEnd"/>
      <w:r w:rsidRPr="0022331B">
        <w:rPr>
          <w:sz w:val="20"/>
          <w:szCs w:val="20"/>
        </w:rPr>
        <w:t xml:space="preserve">.  The former come from Zanzibar, and the </w:t>
      </w:r>
      <w:proofErr w:type="spellStart"/>
      <w:r w:rsidRPr="0022331B">
        <w:rPr>
          <w:sz w:val="20"/>
          <w:szCs w:val="20"/>
        </w:rPr>
        <w:t>neighboring</w:t>
      </w:r>
      <w:proofErr w:type="spellEnd"/>
      <w:r w:rsidRPr="0022331B">
        <w:rPr>
          <w:sz w:val="20"/>
          <w:szCs w:val="20"/>
        </w:rPr>
        <w:t xml:space="preserve"> country in the interior but I don’t know the etymology of the name [certainly from “Mombasa”].  The others as their names imply are natives of Nubia [Sudan] and Abyssinia [Ethiopia].”  (Lady Mary </w:t>
      </w:r>
      <w:proofErr w:type="spellStart"/>
      <w:r w:rsidRPr="0022331B">
        <w:rPr>
          <w:sz w:val="20"/>
          <w:szCs w:val="20"/>
        </w:rPr>
        <w:t>Elenor</w:t>
      </w:r>
      <w:proofErr w:type="spellEnd"/>
      <w:r w:rsidRPr="0022331B">
        <w:rPr>
          <w:sz w:val="20"/>
          <w:szCs w:val="20"/>
        </w:rPr>
        <w:t xml:space="preserve"> </w:t>
      </w:r>
      <w:proofErr w:type="spellStart"/>
      <w:r w:rsidRPr="0022331B">
        <w:rPr>
          <w:sz w:val="20"/>
          <w:szCs w:val="20"/>
        </w:rPr>
        <w:t>Sheil</w:t>
      </w:r>
      <w:proofErr w:type="spellEnd"/>
      <w:r w:rsidRPr="0022331B">
        <w:rPr>
          <w:sz w:val="20"/>
          <w:szCs w:val="20"/>
        </w:rPr>
        <w:t xml:space="preserve">, </w:t>
      </w:r>
      <w:r w:rsidRPr="0022331B">
        <w:rPr>
          <w:i/>
          <w:sz w:val="20"/>
          <w:szCs w:val="20"/>
        </w:rPr>
        <w:t>Glimpses of Life and Manners in Persia</w:t>
      </w:r>
      <w:r w:rsidRPr="0022331B">
        <w:rPr>
          <w:sz w:val="20"/>
          <w:szCs w:val="20"/>
        </w:rPr>
        <w:t xml:space="preserve"> (London:  John Murray, 1856) 243–45.)  The </w:t>
      </w:r>
      <w:proofErr w:type="spellStart"/>
      <w:r w:rsidRPr="0022331B">
        <w:rPr>
          <w:i/>
          <w:sz w:val="20"/>
          <w:szCs w:val="20"/>
        </w:rPr>
        <w:t>habashis</w:t>
      </w:r>
      <w:proofErr w:type="spellEnd"/>
      <w:r w:rsidRPr="0022331B">
        <w:rPr>
          <w:i/>
          <w:sz w:val="20"/>
          <w:szCs w:val="20"/>
        </w:rPr>
        <w:t xml:space="preserve"> </w:t>
      </w:r>
      <w:r w:rsidRPr="0022331B">
        <w:rPr>
          <w:sz w:val="20"/>
          <w:szCs w:val="20"/>
        </w:rPr>
        <w:t xml:space="preserve">were regarded as the most beautiful, intelligent, and expensive slaves, followed by </w:t>
      </w:r>
      <w:proofErr w:type="spellStart"/>
      <w:r w:rsidRPr="0022331B">
        <w:rPr>
          <w:i/>
          <w:sz w:val="20"/>
          <w:szCs w:val="20"/>
        </w:rPr>
        <w:t>bambasis</w:t>
      </w:r>
      <w:proofErr w:type="spellEnd"/>
      <w:r w:rsidRPr="0022331B">
        <w:rPr>
          <w:i/>
          <w:sz w:val="20"/>
          <w:szCs w:val="20"/>
        </w:rPr>
        <w:t>, a</w:t>
      </w:r>
      <w:r w:rsidRPr="0022331B">
        <w:rPr>
          <w:sz w:val="20"/>
          <w:szCs w:val="20"/>
        </w:rPr>
        <w:t xml:space="preserve">nd then </w:t>
      </w:r>
      <w:proofErr w:type="spellStart"/>
      <w:r w:rsidRPr="0022331B">
        <w:rPr>
          <w:i/>
          <w:sz w:val="20"/>
          <w:szCs w:val="20"/>
        </w:rPr>
        <w:t>nubis</w:t>
      </w:r>
      <w:proofErr w:type="spellEnd"/>
      <w:r w:rsidRPr="0022331B">
        <w:rPr>
          <w:sz w:val="20"/>
          <w:szCs w:val="20"/>
        </w:rPr>
        <w:t xml:space="preserve"> and </w:t>
      </w:r>
      <w:proofErr w:type="spellStart"/>
      <w:r w:rsidRPr="0022331B">
        <w:rPr>
          <w:i/>
          <w:sz w:val="20"/>
          <w:szCs w:val="20"/>
        </w:rPr>
        <w:t>zanjis</w:t>
      </w:r>
      <w:proofErr w:type="spellEnd"/>
      <w:r w:rsidRPr="0022331B">
        <w:rPr>
          <w:sz w:val="20"/>
          <w:szCs w:val="20"/>
        </w:rPr>
        <w:t xml:space="preserve"> (from Zanzibar).  These are not ethnic designations, but refer only to the port from which the enslaved Africans embarked in the slave trade.  Since her descendants indicate she embarked from Mombasa or Zanzibar, at least we know that </w:t>
      </w:r>
      <w:proofErr w:type="spellStart"/>
      <w:r w:rsidRPr="0022331B">
        <w:rPr>
          <w:sz w:val="20"/>
          <w:szCs w:val="20"/>
        </w:rPr>
        <w:t>Ziba</w:t>
      </w:r>
      <w:proofErr w:type="spellEnd"/>
      <w:r w:rsidRPr="0022331B">
        <w:rPr>
          <w:sz w:val="20"/>
          <w:szCs w:val="20"/>
        </w:rPr>
        <w:t xml:space="preserve"> Khanum was not an Ethiopian.</w:t>
      </w:r>
    </w:p>
  </w:footnote>
  <w:footnote w:id="11">
    <w:p w14:paraId="32BF6420" w14:textId="77777777" w:rsidR="0029228F" w:rsidRPr="0022331B" w:rsidRDefault="0029228F" w:rsidP="007F2449">
      <w:pPr>
        <w:pStyle w:val="FootnoteText"/>
        <w:rPr>
          <w:sz w:val="20"/>
          <w:szCs w:val="20"/>
        </w:rPr>
      </w:pPr>
      <w:r w:rsidRPr="0022331B">
        <w:rPr>
          <w:rStyle w:val="FootnoteReference"/>
          <w:sz w:val="22"/>
          <w:szCs w:val="20"/>
        </w:rPr>
        <w:footnoteRef/>
      </w:r>
      <w:r w:rsidRPr="0022331B">
        <w:rPr>
          <w:sz w:val="20"/>
          <w:szCs w:val="20"/>
        </w:rPr>
        <w:tab/>
      </w:r>
      <w:proofErr w:type="spellStart"/>
      <w:r w:rsidRPr="0022331B">
        <w:rPr>
          <w:sz w:val="20"/>
          <w:szCs w:val="20"/>
        </w:rPr>
        <w:t>Mirzai</w:t>
      </w:r>
      <w:proofErr w:type="spellEnd"/>
      <w:r w:rsidRPr="0022331B">
        <w:rPr>
          <w:sz w:val="20"/>
          <w:szCs w:val="20"/>
        </w:rPr>
        <w:t xml:space="preserve">, </w:t>
      </w:r>
      <w:r w:rsidRPr="0022331B">
        <w:rPr>
          <w:i/>
          <w:sz w:val="20"/>
          <w:szCs w:val="20"/>
        </w:rPr>
        <w:t>History of Slavery</w:t>
      </w:r>
      <w:r w:rsidRPr="0022331B">
        <w:rPr>
          <w:sz w:val="20"/>
          <w:szCs w:val="20"/>
        </w:rPr>
        <w:t>, 100–101.</w:t>
      </w:r>
    </w:p>
  </w:footnote>
  <w:footnote w:id="12">
    <w:p w14:paraId="7370F3C4" w14:textId="77777777" w:rsidR="0029228F" w:rsidRPr="0022331B" w:rsidRDefault="0029228F" w:rsidP="007F2449">
      <w:pPr>
        <w:pStyle w:val="FootnoteText"/>
        <w:rPr>
          <w:sz w:val="20"/>
          <w:szCs w:val="20"/>
        </w:rPr>
      </w:pPr>
      <w:r w:rsidRPr="0022331B">
        <w:rPr>
          <w:rStyle w:val="FootnoteReference"/>
          <w:sz w:val="22"/>
          <w:szCs w:val="20"/>
        </w:rPr>
        <w:footnoteRef/>
      </w:r>
      <w:r w:rsidRPr="0022331B">
        <w:rPr>
          <w:sz w:val="20"/>
          <w:szCs w:val="20"/>
        </w:rPr>
        <w:tab/>
        <w:t>See, for example, the memoir of Taj al-</w:t>
      </w:r>
      <w:proofErr w:type="spellStart"/>
      <w:r w:rsidRPr="0022331B">
        <w:rPr>
          <w:sz w:val="20"/>
          <w:szCs w:val="20"/>
        </w:rPr>
        <w:t>Saltana</w:t>
      </w:r>
      <w:proofErr w:type="spellEnd"/>
      <w:r w:rsidRPr="0022331B">
        <w:rPr>
          <w:sz w:val="20"/>
          <w:szCs w:val="20"/>
        </w:rPr>
        <w:t>, the daughter of Nasir al-Din Shah.  Taj al-</w:t>
      </w:r>
      <w:proofErr w:type="spellStart"/>
      <w:r w:rsidRPr="0022331B">
        <w:rPr>
          <w:sz w:val="20"/>
          <w:szCs w:val="20"/>
        </w:rPr>
        <w:t>Saltana</w:t>
      </w:r>
      <w:proofErr w:type="spellEnd"/>
      <w:r w:rsidRPr="0022331B">
        <w:rPr>
          <w:sz w:val="20"/>
          <w:szCs w:val="20"/>
        </w:rPr>
        <w:t xml:space="preserve">, </w:t>
      </w:r>
      <w:proofErr w:type="spellStart"/>
      <w:r w:rsidRPr="0022331B">
        <w:rPr>
          <w:i/>
          <w:sz w:val="20"/>
          <w:szCs w:val="20"/>
        </w:rPr>
        <w:t>Khatirat-i</w:t>
      </w:r>
      <w:proofErr w:type="spellEnd"/>
      <w:r w:rsidRPr="0022331B">
        <w:rPr>
          <w:i/>
          <w:sz w:val="20"/>
          <w:szCs w:val="20"/>
        </w:rPr>
        <w:t xml:space="preserve"> Taj al-</w:t>
      </w:r>
      <w:proofErr w:type="spellStart"/>
      <w:r w:rsidRPr="0022331B">
        <w:rPr>
          <w:i/>
          <w:sz w:val="20"/>
          <w:szCs w:val="20"/>
        </w:rPr>
        <w:t>Saltana</w:t>
      </w:r>
      <w:proofErr w:type="spellEnd"/>
      <w:r w:rsidRPr="0022331B">
        <w:rPr>
          <w:sz w:val="20"/>
          <w:szCs w:val="20"/>
        </w:rPr>
        <w:t xml:space="preserve">, ed. Mansura </w:t>
      </w:r>
      <w:proofErr w:type="spellStart"/>
      <w:r w:rsidRPr="0022331B">
        <w:rPr>
          <w:sz w:val="20"/>
          <w:szCs w:val="20"/>
        </w:rPr>
        <w:t>Ettihadia</w:t>
      </w:r>
      <w:proofErr w:type="spellEnd"/>
      <w:r w:rsidRPr="0022331B">
        <w:rPr>
          <w:sz w:val="20"/>
          <w:szCs w:val="20"/>
        </w:rPr>
        <w:t xml:space="preserve"> (Nizam Mafi) and </w:t>
      </w:r>
      <w:proofErr w:type="spellStart"/>
      <w:r w:rsidRPr="0022331B">
        <w:rPr>
          <w:sz w:val="20"/>
          <w:szCs w:val="20"/>
        </w:rPr>
        <w:t>Sirus</w:t>
      </w:r>
      <w:proofErr w:type="spellEnd"/>
      <w:r w:rsidRPr="0022331B">
        <w:rPr>
          <w:sz w:val="20"/>
          <w:szCs w:val="20"/>
        </w:rPr>
        <w:t xml:space="preserve"> </w:t>
      </w:r>
      <w:proofErr w:type="spellStart"/>
      <w:r w:rsidRPr="0022331B">
        <w:rPr>
          <w:sz w:val="20"/>
          <w:szCs w:val="20"/>
        </w:rPr>
        <w:t>Sa‘dvandian</w:t>
      </w:r>
      <w:proofErr w:type="spellEnd"/>
      <w:r w:rsidRPr="0022331B">
        <w:rPr>
          <w:sz w:val="20"/>
          <w:szCs w:val="20"/>
        </w:rPr>
        <w:t xml:space="preserve"> (Tehran, 1361 [1982]) trans. as </w:t>
      </w:r>
      <w:r w:rsidRPr="0022331B">
        <w:rPr>
          <w:i/>
          <w:sz w:val="20"/>
          <w:szCs w:val="20"/>
        </w:rPr>
        <w:t>Crowning Anguish:  Memoirs of a Persian Princess From the Harem to Modernity, 1884–1914</w:t>
      </w:r>
      <w:r w:rsidRPr="0022331B">
        <w:rPr>
          <w:sz w:val="20"/>
          <w:szCs w:val="20"/>
        </w:rPr>
        <w:t>, Abbas Amanat, ed. (Washington, DC:  Mage Publishers, 1993) 112–113.</w:t>
      </w:r>
    </w:p>
  </w:footnote>
  <w:footnote w:id="13">
    <w:p w14:paraId="4F44A5BB" w14:textId="77777777" w:rsidR="0029228F" w:rsidRPr="0022331B" w:rsidRDefault="0029228F" w:rsidP="007F2449">
      <w:pPr>
        <w:pStyle w:val="FootnoteText"/>
        <w:rPr>
          <w:sz w:val="20"/>
          <w:szCs w:val="20"/>
        </w:rPr>
      </w:pPr>
      <w:r w:rsidRPr="0022331B">
        <w:rPr>
          <w:rStyle w:val="FootnoteReference"/>
          <w:sz w:val="22"/>
          <w:szCs w:val="20"/>
        </w:rPr>
        <w:footnoteRef/>
      </w:r>
      <w:r w:rsidRPr="0022331B">
        <w:rPr>
          <w:sz w:val="20"/>
          <w:szCs w:val="20"/>
        </w:rPr>
        <w:tab/>
        <w:t xml:space="preserve">For a discussion of eunuchs and enslaved women in the shah’s palace, see </w:t>
      </w:r>
      <w:proofErr w:type="spellStart"/>
      <w:r w:rsidRPr="0022331B">
        <w:rPr>
          <w:sz w:val="20"/>
          <w:szCs w:val="20"/>
        </w:rPr>
        <w:t>Mirazi</w:t>
      </w:r>
      <w:proofErr w:type="spellEnd"/>
      <w:r w:rsidRPr="0022331B">
        <w:rPr>
          <w:sz w:val="20"/>
          <w:szCs w:val="20"/>
        </w:rPr>
        <w:t xml:space="preserve">, </w:t>
      </w:r>
      <w:r w:rsidRPr="0022331B">
        <w:rPr>
          <w:i/>
          <w:sz w:val="20"/>
          <w:szCs w:val="20"/>
        </w:rPr>
        <w:t>History of Slavery</w:t>
      </w:r>
      <w:r w:rsidRPr="0022331B">
        <w:rPr>
          <w:sz w:val="20"/>
          <w:szCs w:val="20"/>
        </w:rPr>
        <w:t>, 111–122.</w:t>
      </w:r>
    </w:p>
  </w:footnote>
  <w:footnote w:id="14">
    <w:p w14:paraId="1796D6C5" w14:textId="77777777" w:rsidR="0029228F" w:rsidRPr="0022331B" w:rsidRDefault="0029228F" w:rsidP="00A119BC">
      <w:pPr>
        <w:pStyle w:val="FootnoteText"/>
        <w:rPr>
          <w:sz w:val="20"/>
          <w:szCs w:val="20"/>
        </w:rPr>
      </w:pPr>
      <w:r w:rsidRPr="0022331B">
        <w:rPr>
          <w:rStyle w:val="FootnoteReference"/>
          <w:sz w:val="22"/>
          <w:szCs w:val="20"/>
        </w:rPr>
        <w:footnoteRef/>
      </w:r>
      <w:r w:rsidRPr="0022331B">
        <w:rPr>
          <w:sz w:val="20"/>
          <w:szCs w:val="20"/>
        </w:rPr>
        <w:tab/>
        <w:t>“Umm al-</w:t>
      </w:r>
      <w:proofErr w:type="spellStart"/>
      <w:r w:rsidRPr="0022331B">
        <w:rPr>
          <w:sz w:val="20"/>
          <w:szCs w:val="20"/>
        </w:rPr>
        <w:t>Walad</w:t>
      </w:r>
      <w:proofErr w:type="spellEnd"/>
      <w:r w:rsidRPr="0022331B">
        <w:rPr>
          <w:sz w:val="20"/>
          <w:szCs w:val="20"/>
        </w:rPr>
        <w:t>:  Mother of the son.  Refers to a slave woman impregnated by her owner, thereby bearing a child.  In the opinion of many classical jurists, such a slave woman cannot be sold. …  Children, male or female, born of this union are legally free and enjoy all rights of legitimate parentage, including inheritance and use of the father’s name.”  (Oxford Islamic Studies Online. http://www.oxfordislamicstudies.com/article/opr/t125/e2424)</w:t>
      </w:r>
    </w:p>
    <w:p w14:paraId="10BA0342" w14:textId="77777777" w:rsidR="0029228F" w:rsidRPr="0022331B" w:rsidRDefault="0029228F" w:rsidP="00075AC3">
      <w:pPr>
        <w:pStyle w:val="FootnoteText"/>
        <w:rPr>
          <w:sz w:val="20"/>
          <w:szCs w:val="20"/>
        </w:rPr>
      </w:pPr>
    </w:p>
  </w:footnote>
  <w:footnote w:id="15">
    <w:p w14:paraId="4B1BBD96" w14:textId="77777777" w:rsidR="0029228F" w:rsidRPr="0022331B" w:rsidRDefault="0029228F" w:rsidP="00FA3183">
      <w:pPr>
        <w:pStyle w:val="FootnoteText"/>
        <w:rPr>
          <w:sz w:val="20"/>
          <w:szCs w:val="20"/>
        </w:rPr>
      </w:pPr>
      <w:r w:rsidRPr="0022331B">
        <w:rPr>
          <w:rStyle w:val="FootnoteReference"/>
          <w:sz w:val="22"/>
          <w:szCs w:val="20"/>
        </w:rPr>
        <w:footnoteRef/>
      </w:r>
      <w:r w:rsidRPr="0022331B">
        <w:rPr>
          <w:sz w:val="20"/>
          <w:szCs w:val="20"/>
        </w:rPr>
        <w:tab/>
        <w:t xml:space="preserve">The </w:t>
      </w:r>
      <w:proofErr w:type="spellStart"/>
      <w:r w:rsidRPr="0022331B">
        <w:rPr>
          <w:sz w:val="20"/>
          <w:szCs w:val="20"/>
        </w:rPr>
        <w:t>Mehr</w:t>
      </w:r>
      <w:proofErr w:type="spellEnd"/>
      <w:r w:rsidRPr="0022331B">
        <w:rPr>
          <w:sz w:val="20"/>
          <w:szCs w:val="20"/>
        </w:rPr>
        <w:t xml:space="preserve"> Traditional Hotel, </w:t>
      </w:r>
      <w:proofErr w:type="spellStart"/>
      <w:r w:rsidRPr="0022331B">
        <w:rPr>
          <w:sz w:val="20"/>
          <w:szCs w:val="20"/>
        </w:rPr>
        <w:t>Yaazd</w:t>
      </w:r>
      <w:proofErr w:type="spellEnd"/>
      <w:r w:rsidRPr="0022331B">
        <w:rPr>
          <w:sz w:val="20"/>
          <w:szCs w:val="20"/>
        </w:rPr>
        <w:t>.  https://www.tripadvisor.com/Hotel_Review-g303962-d3731471-Reviews-Mehr_Traditional_Hotel-Yazd_Yazd_Province.html.</w:t>
      </w:r>
    </w:p>
  </w:footnote>
  <w:footnote w:id="16">
    <w:p w14:paraId="02450FB1" w14:textId="77777777" w:rsidR="0029228F" w:rsidRPr="0022331B" w:rsidRDefault="0029228F" w:rsidP="00FA3183">
      <w:pPr>
        <w:pStyle w:val="FootnoteText"/>
        <w:rPr>
          <w:sz w:val="20"/>
          <w:szCs w:val="20"/>
        </w:rPr>
      </w:pPr>
      <w:r w:rsidRPr="0022331B">
        <w:rPr>
          <w:rStyle w:val="FootnoteReference"/>
          <w:sz w:val="22"/>
          <w:szCs w:val="20"/>
        </w:rPr>
        <w:footnoteRef/>
      </w:r>
      <w:r w:rsidRPr="0022331B">
        <w:rPr>
          <w:sz w:val="20"/>
          <w:szCs w:val="20"/>
        </w:rPr>
        <w:tab/>
        <w:t xml:space="preserve">There is a considerable body of academic literature on the Baha’i religion and its history, especially in the United States and in Iran.  See, for example, the twenty-five volumes of the </w:t>
      </w:r>
      <w:r w:rsidRPr="0022331B">
        <w:rPr>
          <w:i/>
          <w:sz w:val="20"/>
          <w:szCs w:val="20"/>
        </w:rPr>
        <w:t xml:space="preserve">Studies in the Babi and Baha’i Religions </w:t>
      </w:r>
      <w:r w:rsidRPr="0022331B">
        <w:rPr>
          <w:sz w:val="20"/>
          <w:szCs w:val="20"/>
        </w:rPr>
        <w:t xml:space="preserve">series, Anthony A. Lee, General Editor (Los Angeles:  Kalimat Press, 1982).  See also, Peter Smith, </w:t>
      </w:r>
      <w:r w:rsidRPr="0022331B">
        <w:rPr>
          <w:i/>
          <w:sz w:val="20"/>
          <w:szCs w:val="20"/>
        </w:rPr>
        <w:t>The Babi and Baha’i Religions:  From Messianic Shi’ism to a World Religion</w:t>
      </w:r>
      <w:r w:rsidRPr="0022331B">
        <w:rPr>
          <w:sz w:val="20"/>
          <w:szCs w:val="20"/>
        </w:rPr>
        <w:t xml:space="preserve"> (Cambridge University Press, 1987); Margit Warburg, </w:t>
      </w:r>
      <w:r w:rsidRPr="0022331B">
        <w:rPr>
          <w:i/>
          <w:sz w:val="20"/>
          <w:szCs w:val="20"/>
        </w:rPr>
        <w:t xml:space="preserve">Citizens of the World:  A History and Sociology of the Baha’is from a Globalization Perspective </w:t>
      </w:r>
      <w:r w:rsidRPr="0022331B">
        <w:rPr>
          <w:sz w:val="20"/>
          <w:szCs w:val="20"/>
        </w:rPr>
        <w:t xml:space="preserve">(Leiden:  Brill, 2006); Juan R. I. Cole, </w:t>
      </w:r>
      <w:r w:rsidRPr="0022331B">
        <w:rPr>
          <w:i/>
          <w:sz w:val="20"/>
          <w:szCs w:val="20"/>
        </w:rPr>
        <w:t>Modernity and the Millennium:  The Genesis of the Baha’i Faith in the Nineteenth-century Middle East</w:t>
      </w:r>
      <w:r w:rsidRPr="0022331B">
        <w:rPr>
          <w:sz w:val="20"/>
          <w:szCs w:val="20"/>
        </w:rPr>
        <w:t xml:space="preserve"> (New York:  Columbia University Press, 1998); William Garlington, </w:t>
      </w:r>
      <w:r w:rsidRPr="0022331B">
        <w:rPr>
          <w:i/>
          <w:sz w:val="20"/>
          <w:szCs w:val="20"/>
        </w:rPr>
        <w:t>The Baha’i Faith in America</w:t>
      </w:r>
      <w:r w:rsidRPr="0022331B">
        <w:rPr>
          <w:sz w:val="20"/>
          <w:szCs w:val="20"/>
        </w:rPr>
        <w:t xml:space="preserve"> (Westport, CT:  Praeger, 2005); Dominic </w:t>
      </w:r>
      <w:proofErr w:type="spellStart"/>
      <w:r w:rsidRPr="0022331B">
        <w:rPr>
          <w:sz w:val="20"/>
          <w:szCs w:val="20"/>
        </w:rPr>
        <w:t>Parviz</w:t>
      </w:r>
      <w:proofErr w:type="spellEnd"/>
      <w:r w:rsidRPr="0022331B">
        <w:rPr>
          <w:sz w:val="20"/>
          <w:szCs w:val="20"/>
        </w:rPr>
        <w:t xml:space="preserve"> </w:t>
      </w:r>
      <w:proofErr w:type="spellStart"/>
      <w:r w:rsidRPr="0022331B">
        <w:rPr>
          <w:sz w:val="20"/>
          <w:szCs w:val="20"/>
        </w:rPr>
        <w:t>Brookshaw</w:t>
      </w:r>
      <w:proofErr w:type="spellEnd"/>
      <w:r w:rsidRPr="0022331B">
        <w:rPr>
          <w:sz w:val="20"/>
          <w:szCs w:val="20"/>
        </w:rPr>
        <w:t xml:space="preserve"> and </w:t>
      </w:r>
      <w:proofErr w:type="spellStart"/>
      <w:r w:rsidRPr="0022331B">
        <w:rPr>
          <w:sz w:val="20"/>
          <w:szCs w:val="20"/>
        </w:rPr>
        <w:t>Seena</w:t>
      </w:r>
      <w:proofErr w:type="spellEnd"/>
      <w:r w:rsidRPr="0022331B">
        <w:rPr>
          <w:sz w:val="20"/>
          <w:szCs w:val="20"/>
        </w:rPr>
        <w:t xml:space="preserve"> B. Fazel, eds., </w:t>
      </w:r>
      <w:r w:rsidRPr="0022331B">
        <w:rPr>
          <w:i/>
          <w:sz w:val="20"/>
          <w:szCs w:val="20"/>
        </w:rPr>
        <w:t>The Baha’is of Iran:  Socio-historical Studies</w:t>
      </w:r>
      <w:r w:rsidRPr="0022331B">
        <w:rPr>
          <w:sz w:val="20"/>
          <w:szCs w:val="20"/>
        </w:rPr>
        <w:t xml:space="preserve"> (London: Routledge, 2008); Moojan Momen, </w:t>
      </w:r>
      <w:r w:rsidRPr="0022331B">
        <w:rPr>
          <w:i/>
          <w:sz w:val="20"/>
          <w:szCs w:val="20"/>
        </w:rPr>
        <w:t>The Baha’i Communities of Iran 1851–1921</w:t>
      </w:r>
      <w:r w:rsidRPr="0022331B">
        <w:rPr>
          <w:iCs w:val="0"/>
          <w:sz w:val="20"/>
          <w:szCs w:val="20"/>
        </w:rPr>
        <w:t>, vol. 1</w:t>
      </w:r>
      <w:r w:rsidRPr="0022331B">
        <w:rPr>
          <w:i/>
          <w:sz w:val="20"/>
          <w:szCs w:val="20"/>
        </w:rPr>
        <w:t xml:space="preserve"> </w:t>
      </w:r>
      <w:r w:rsidRPr="0022331B">
        <w:rPr>
          <w:sz w:val="20"/>
          <w:szCs w:val="20"/>
        </w:rPr>
        <w:t xml:space="preserve">(Oxford:  George Ronald, 2015), Abbas Amanat, </w:t>
      </w:r>
      <w:r w:rsidRPr="0022331B">
        <w:rPr>
          <w:i/>
          <w:sz w:val="20"/>
          <w:szCs w:val="20"/>
        </w:rPr>
        <w:t>Iran:  A Modern History</w:t>
      </w:r>
      <w:r w:rsidRPr="0022331B">
        <w:rPr>
          <w:sz w:val="20"/>
          <w:szCs w:val="20"/>
        </w:rPr>
        <w:t xml:space="preserve">. </w:t>
      </w:r>
      <w:r w:rsidRPr="0022331B">
        <w:rPr>
          <w:i/>
          <w:iCs w:val="0"/>
          <w:sz w:val="20"/>
          <w:szCs w:val="20"/>
        </w:rPr>
        <w:t>passim</w:t>
      </w:r>
      <w:r w:rsidRPr="0022331B">
        <w:rPr>
          <w:sz w:val="20"/>
          <w:szCs w:val="20"/>
        </w:rPr>
        <w:t xml:space="preserve">.  For a full discussion of the emergence of an academic literature of Babi and Baha’i Studies, see Lee, </w:t>
      </w:r>
      <w:r w:rsidRPr="0022331B">
        <w:rPr>
          <w:i/>
          <w:sz w:val="20"/>
          <w:szCs w:val="20"/>
        </w:rPr>
        <w:t>The Baha’i Faith in Africa</w:t>
      </w:r>
      <w:r w:rsidRPr="0022331B">
        <w:rPr>
          <w:sz w:val="20"/>
          <w:szCs w:val="20"/>
        </w:rPr>
        <w:t>, Chapter One.</w:t>
      </w:r>
    </w:p>
  </w:footnote>
  <w:footnote w:id="17">
    <w:p w14:paraId="2E77B7DE" w14:textId="77777777" w:rsidR="0029228F" w:rsidRPr="0022331B" w:rsidRDefault="0029228F" w:rsidP="00FA3183">
      <w:pPr>
        <w:pStyle w:val="FootnoteText"/>
        <w:rPr>
          <w:sz w:val="20"/>
          <w:szCs w:val="20"/>
        </w:rPr>
      </w:pPr>
      <w:r w:rsidRPr="0022331B">
        <w:rPr>
          <w:rStyle w:val="FootnoteReference"/>
          <w:sz w:val="22"/>
          <w:szCs w:val="20"/>
        </w:rPr>
        <w:footnoteRef/>
      </w:r>
      <w:r w:rsidRPr="0022331B">
        <w:rPr>
          <w:sz w:val="20"/>
          <w:szCs w:val="20"/>
        </w:rPr>
        <w:tab/>
        <w:t xml:space="preserve">Muhammad Tahir </w:t>
      </w:r>
      <w:proofErr w:type="spellStart"/>
      <w:r w:rsidRPr="0022331B">
        <w:rPr>
          <w:sz w:val="20"/>
          <w:szCs w:val="20"/>
        </w:rPr>
        <w:t>Malmiri</w:t>
      </w:r>
      <w:proofErr w:type="spellEnd"/>
      <w:r w:rsidRPr="0022331B">
        <w:rPr>
          <w:sz w:val="20"/>
          <w:szCs w:val="20"/>
        </w:rPr>
        <w:t xml:space="preserve">, </w:t>
      </w:r>
      <w:r w:rsidRPr="0022331B">
        <w:rPr>
          <w:i/>
          <w:sz w:val="20"/>
          <w:szCs w:val="20"/>
        </w:rPr>
        <w:t>Tarikh-</w:t>
      </w:r>
      <w:proofErr w:type="spellStart"/>
      <w:r w:rsidRPr="0022331B">
        <w:rPr>
          <w:i/>
          <w:sz w:val="20"/>
          <w:szCs w:val="20"/>
        </w:rPr>
        <w:t>i</w:t>
      </w:r>
      <w:proofErr w:type="spellEnd"/>
      <w:r w:rsidRPr="0022331B">
        <w:rPr>
          <w:i/>
          <w:sz w:val="20"/>
          <w:szCs w:val="20"/>
        </w:rPr>
        <w:t xml:space="preserve"> </w:t>
      </w:r>
      <w:proofErr w:type="spellStart"/>
      <w:r w:rsidRPr="0022331B">
        <w:rPr>
          <w:i/>
          <w:sz w:val="20"/>
          <w:szCs w:val="20"/>
        </w:rPr>
        <w:t>Amriy-i</w:t>
      </w:r>
      <w:proofErr w:type="spellEnd"/>
      <w:r w:rsidRPr="0022331B">
        <w:rPr>
          <w:i/>
          <w:sz w:val="20"/>
          <w:szCs w:val="20"/>
        </w:rPr>
        <w:t xml:space="preserve"> Yazd</w:t>
      </w:r>
      <w:r w:rsidRPr="0022331B">
        <w:rPr>
          <w:sz w:val="20"/>
          <w:szCs w:val="20"/>
        </w:rPr>
        <w:t xml:space="preserve"> (History of the Cause in Yazd), (Bundoora, Vic., Australia:  Century Press, 2013) 109.</w:t>
      </w:r>
    </w:p>
  </w:footnote>
  <w:footnote w:id="18">
    <w:p w14:paraId="41D58CD4" w14:textId="77777777" w:rsidR="0029228F" w:rsidRPr="0022331B" w:rsidRDefault="0029228F" w:rsidP="00FA3183">
      <w:pPr>
        <w:pStyle w:val="FootnoteText"/>
        <w:rPr>
          <w:iCs w:val="0"/>
          <w:sz w:val="20"/>
          <w:szCs w:val="20"/>
        </w:rPr>
      </w:pPr>
      <w:r w:rsidRPr="0022331B">
        <w:rPr>
          <w:rStyle w:val="FootnoteReference"/>
          <w:sz w:val="22"/>
          <w:szCs w:val="20"/>
        </w:rPr>
        <w:footnoteRef/>
      </w:r>
      <w:r w:rsidRPr="0022331B">
        <w:rPr>
          <w:sz w:val="20"/>
          <w:szCs w:val="20"/>
        </w:rPr>
        <w:tab/>
        <w:t xml:space="preserve">His conversion by </w:t>
      </w:r>
      <w:proofErr w:type="spellStart"/>
      <w:r w:rsidRPr="0022331B">
        <w:rPr>
          <w:sz w:val="20"/>
          <w:szCs w:val="20"/>
        </w:rPr>
        <w:t>Alaqband</w:t>
      </w:r>
      <w:proofErr w:type="spellEnd"/>
      <w:r w:rsidRPr="0022331B">
        <w:rPr>
          <w:sz w:val="20"/>
          <w:szCs w:val="20"/>
        </w:rPr>
        <w:t xml:space="preserve"> is mentioned in an editor’s footnote in </w:t>
      </w:r>
      <w:r w:rsidRPr="0022331B">
        <w:rPr>
          <w:i/>
          <w:sz w:val="20"/>
          <w:szCs w:val="20"/>
        </w:rPr>
        <w:t>Amr-</w:t>
      </w:r>
      <w:proofErr w:type="spellStart"/>
      <w:r w:rsidRPr="0022331B">
        <w:rPr>
          <w:i/>
          <w:sz w:val="20"/>
          <w:szCs w:val="20"/>
        </w:rPr>
        <w:t>i</w:t>
      </w:r>
      <w:proofErr w:type="spellEnd"/>
      <w:r w:rsidRPr="0022331B">
        <w:rPr>
          <w:i/>
          <w:sz w:val="20"/>
          <w:szCs w:val="20"/>
        </w:rPr>
        <w:t xml:space="preserve"> Baha’i </w:t>
      </w:r>
      <w:proofErr w:type="spellStart"/>
      <w:r w:rsidRPr="0022331B">
        <w:rPr>
          <w:i/>
          <w:sz w:val="20"/>
          <w:szCs w:val="20"/>
        </w:rPr>
        <w:t>dar</w:t>
      </w:r>
      <w:proofErr w:type="spellEnd"/>
      <w:r w:rsidRPr="0022331B">
        <w:rPr>
          <w:i/>
          <w:sz w:val="20"/>
          <w:szCs w:val="20"/>
        </w:rPr>
        <w:t xml:space="preserve"> </w:t>
      </w:r>
      <w:proofErr w:type="spellStart"/>
      <w:r w:rsidRPr="0022331B">
        <w:rPr>
          <w:i/>
          <w:sz w:val="20"/>
          <w:szCs w:val="20"/>
        </w:rPr>
        <w:t>Ardakan</w:t>
      </w:r>
      <w:proofErr w:type="spellEnd"/>
      <w:r w:rsidRPr="0022331B">
        <w:rPr>
          <w:sz w:val="20"/>
          <w:szCs w:val="20"/>
        </w:rPr>
        <w:t xml:space="preserve"> by Sadri </w:t>
      </w:r>
      <w:proofErr w:type="spellStart"/>
      <w:r w:rsidRPr="0022331B">
        <w:rPr>
          <w:sz w:val="20"/>
          <w:szCs w:val="20"/>
        </w:rPr>
        <w:t>Navvabzadeh</w:t>
      </w:r>
      <w:proofErr w:type="spellEnd"/>
      <w:r w:rsidRPr="0022331B">
        <w:rPr>
          <w:sz w:val="20"/>
          <w:szCs w:val="20"/>
        </w:rPr>
        <w:t xml:space="preserve"> </w:t>
      </w:r>
      <w:proofErr w:type="spellStart"/>
      <w:r w:rsidRPr="0022331B">
        <w:rPr>
          <w:sz w:val="20"/>
          <w:szCs w:val="20"/>
        </w:rPr>
        <w:t>Ardakanii</w:t>
      </w:r>
      <w:proofErr w:type="spellEnd"/>
      <w:r w:rsidRPr="0022331B">
        <w:rPr>
          <w:sz w:val="20"/>
          <w:szCs w:val="20"/>
        </w:rPr>
        <w:t xml:space="preserve">, ed. by Vahid </w:t>
      </w:r>
      <w:proofErr w:type="spellStart"/>
      <w:r w:rsidRPr="0022331B">
        <w:rPr>
          <w:sz w:val="20"/>
          <w:szCs w:val="20"/>
        </w:rPr>
        <w:t>Rafati</w:t>
      </w:r>
      <w:proofErr w:type="spellEnd"/>
      <w:r w:rsidRPr="0022331B">
        <w:rPr>
          <w:sz w:val="20"/>
          <w:szCs w:val="20"/>
        </w:rPr>
        <w:t xml:space="preserve"> (Hofheim, Germany:  Baha’i Verlag, 2009) 42.</w:t>
      </w:r>
    </w:p>
  </w:footnote>
  <w:footnote w:id="19">
    <w:p w14:paraId="38886EF1" w14:textId="77777777" w:rsidR="0029228F" w:rsidRPr="0022331B" w:rsidRDefault="0029228F" w:rsidP="00FA3183">
      <w:pPr>
        <w:pStyle w:val="FootnoteText"/>
        <w:rPr>
          <w:sz w:val="20"/>
          <w:szCs w:val="20"/>
        </w:rPr>
      </w:pPr>
      <w:r w:rsidRPr="0022331B">
        <w:rPr>
          <w:rStyle w:val="FootnoteReference"/>
          <w:sz w:val="22"/>
          <w:szCs w:val="20"/>
        </w:rPr>
        <w:footnoteRef/>
      </w:r>
      <w:r w:rsidRPr="0022331B">
        <w:rPr>
          <w:sz w:val="20"/>
          <w:szCs w:val="20"/>
        </w:rPr>
        <w:tab/>
        <w:t>Perhaps, as much as $3,500.  The value of the Persian</w:t>
      </w:r>
      <w:r w:rsidRPr="0022331B">
        <w:rPr>
          <w:i/>
          <w:sz w:val="20"/>
          <w:szCs w:val="20"/>
        </w:rPr>
        <w:t xml:space="preserve"> tuman</w:t>
      </w:r>
      <w:r w:rsidRPr="0022331B">
        <w:rPr>
          <w:sz w:val="20"/>
          <w:szCs w:val="20"/>
        </w:rPr>
        <w:t xml:space="preserve">, a gold coin, varied widely in the nineteenth century from city to city and from decade to decade.  See </w:t>
      </w:r>
      <w:proofErr w:type="spellStart"/>
      <w:r w:rsidRPr="0022331B">
        <w:rPr>
          <w:sz w:val="20"/>
          <w:szCs w:val="20"/>
        </w:rPr>
        <w:t>Mirzai</w:t>
      </w:r>
      <w:proofErr w:type="spellEnd"/>
      <w:r w:rsidRPr="0022331B">
        <w:rPr>
          <w:sz w:val="20"/>
          <w:szCs w:val="20"/>
        </w:rPr>
        <w:t xml:space="preserve">, </w:t>
      </w:r>
      <w:r w:rsidRPr="0022331B">
        <w:rPr>
          <w:i/>
          <w:sz w:val="20"/>
          <w:szCs w:val="20"/>
        </w:rPr>
        <w:t>History of Slavery</w:t>
      </w:r>
      <w:r w:rsidRPr="0022331B">
        <w:rPr>
          <w:sz w:val="20"/>
          <w:szCs w:val="20"/>
        </w:rPr>
        <w:t>, iv–v.</w:t>
      </w:r>
    </w:p>
  </w:footnote>
  <w:footnote w:id="20">
    <w:p w14:paraId="6514E9CB" w14:textId="77777777" w:rsidR="0029228F" w:rsidRPr="0022331B" w:rsidRDefault="0029228F" w:rsidP="00833750">
      <w:pPr>
        <w:pStyle w:val="FootnoteText"/>
        <w:rPr>
          <w:sz w:val="20"/>
          <w:szCs w:val="20"/>
        </w:rPr>
      </w:pPr>
      <w:r w:rsidRPr="0022331B">
        <w:rPr>
          <w:rStyle w:val="FootnoteReference"/>
          <w:sz w:val="22"/>
          <w:szCs w:val="20"/>
        </w:rPr>
        <w:footnoteRef/>
      </w:r>
      <w:r w:rsidRPr="0022331B">
        <w:rPr>
          <w:sz w:val="20"/>
          <w:szCs w:val="20"/>
        </w:rPr>
        <w:tab/>
        <w:t>Lee, “Recovering the Biographies”.</w:t>
      </w:r>
    </w:p>
  </w:footnote>
  <w:footnote w:id="21">
    <w:p w14:paraId="6E59ED35" w14:textId="77777777" w:rsidR="0029228F" w:rsidRPr="0022331B" w:rsidRDefault="0029228F" w:rsidP="0029228F">
      <w:pPr>
        <w:pStyle w:val="EndnoteText"/>
        <w:rPr>
          <w:sz w:val="20"/>
          <w:szCs w:val="22"/>
        </w:rPr>
      </w:pPr>
      <w:r w:rsidRPr="0022331B">
        <w:rPr>
          <w:rStyle w:val="FootnoteReference"/>
          <w:sz w:val="22"/>
          <w:szCs w:val="22"/>
        </w:rPr>
        <w:footnoteRef/>
      </w:r>
      <w:r w:rsidRPr="0022331B">
        <w:rPr>
          <w:sz w:val="20"/>
          <w:szCs w:val="22"/>
        </w:rPr>
        <w:tab/>
        <w:t xml:space="preserve">Similar cautions are made for the study of slavery in Africa and Asia.  See, Joseph C. Miller, “Introduction”, in </w:t>
      </w:r>
      <w:r w:rsidRPr="0022331B">
        <w:rPr>
          <w:i/>
          <w:sz w:val="20"/>
          <w:szCs w:val="22"/>
        </w:rPr>
        <w:t>Women and Slavery</w:t>
      </w:r>
      <w:r w:rsidRPr="0022331B">
        <w:rPr>
          <w:sz w:val="20"/>
          <w:szCs w:val="22"/>
        </w:rPr>
        <w:t xml:space="preserve">, 25–29; Gwyn Campbell, “Introduction:  Slavery and Other Forms of Unfree Labour </w:t>
      </w:r>
      <w:proofErr w:type="gramStart"/>
      <w:r w:rsidRPr="0022331B">
        <w:rPr>
          <w:sz w:val="20"/>
          <w:szCs w:val="22"/>
        </w:rPr>
        <w:t>In</w:t>
      </w:r>
      <w:proofErr w:type="gramEnd"/>
      <w:r w:rsidRPr="0022331B">
        <w:rPr>
          <w:sz w:val="20"/>
          <w:szCs w:val="22"/>
        </w:rPr>
        <w:t xml:space="preserve"> the Indian Ocean World”, in </w:t>
      </w:r>
      <w:r w:rsidRPr="0022331B">
        <w:rPr>
          <w:i/>
          <w:sz w:val="20"/>
          <w:szCs w:val="22"/>
        </w:rPr>
        <w:t>Structure of Slavery</w:t>
      </w:r>
      <w:r w:rsidRPr="0022331B">
        <w:rPr>
          <w:sz w:val="20"/>
          <w:szCs w:val="22"/>
        </w:rPr>
        <w:t xml:space="preserve">, viii–xviii; Suzanne </w:t>
      </w:r>
      <w:proofErr w:type="spellStart"/>
      <w:r w:rsidRPr="0022331B">
        <w:rPr>
          <w:sz w:val="20"/>
          <w:szCs w:val="22"/>
        </w:rPr>
        <w:t>Miers</w:t>
      </w:r>
      <w:proofErr w:type="spellEnd"/>
      <w:r w:rsidRPr="0022331B">
        <w:rPr>
          <w:sz w:val="20"/>
          <w:szCs w:val="22"/>
        </w:rPr>
        <w:t xml:space="preserve">, “Slavery:  A Question of Definition”, in </w:t>
      </w:r>
      <w:r w:rsidRPr="0022331B">
        <w:rPr>
          <w:i/>
          <w:sz w:val="20"/>
          <w:szCs w:val="22"/>
        </w:rPr>
        <w:t>Structure of Slavery</w:t>
      </w:r>
      <w:r w:rsidRPr="0022331B">
        <w:rPr>
          <w:sz w:val="20"/>
          <w:szCs w:val="22"/>
        </w:rPr>
        <w:t>, 1–14.</w:t>
      </w:r>
    </w:p>
  </w:footnote>
  <w:footnote w:id="22">
    <w:p w14:paraId="0AEDE9A4" w14:textId="77777777" w:rsidR="0029228F" w:rsidRPr="0022331B" w:rsidRDefault="0029228F" w:rsidP="0029228F">
      <w:pPr>
        <w:pStyle w:val="FootnoteText"/>
        <w:rPr>
          <w:sz w:val="20"/>
          <w:szCs w:val="20"/>
        </w:rPr>
      </w:pPr>
      <w:r w:rsidRPr="0022331B">
        <w:rPr>
          <w:rStyle w:val="FootnoteReference"/>
          <w:sz w:val="22"/>
          <w:szCs w:val="20"/>
        </w:rPr>
        <w:footnoteRef/>
      </w:r>
      <w:r w:rsidRPr="0022331B">
        <w:rPr>
          <w:sz w:val="20"/>
          <w:szCs w:val="20"/>
        </w:rPr>
        <w:tab/>
        <w:t xml:space="preserve">See Haji Muhammad-Tahir </w:t>
      </w:r>
      <w:proofErr w:type="spellStart"/>
      <w:r w:rsidRPr="0022331B">
        <w:rPr>
          <w:sz w:val="20"/>
          <w:szCs w:val="20"/>
        </w:rPr>
        <w:t>Malmiri</w:t>
      </w:r>
      <w:proofErr w:type="spellEnd"/>
      <w:r w:rsidRPr="0022331B">
        <w:rPr>
          <w:sz w:val="20"/>
          <w:szCs w:val="20"/>
        </w:rPr>
        <w:t xml:space="preserve">.  </w:t>
      </w:r>
      <w:r w:rsidRPr="0022331B">
        <w:rPr>
          <w:i/>
          <w:sz w:val="20"/>
          <w:szCs w:val="20"/>
        </w:rPr>
        <w:t>Tarikh-</w:t>
      </w:r>
      <w:proofErr w:type="spellStart"/>
      <w:r w:rsidRPr="0022331B">
        <w:rPr>
          <w:i/>
          <w:sz w:val="20"/>
          <w:szCs w:val="20"/>
        </w:rPr>
        <w:t>i</w:t>
      </w:r>
      <w:proofErr w:type="spellEnd"/>
      <w:r w:rsidRPr="0022331B">
        <w:rPr>
          <w:i/>
          <w:sz w:val="20"/>
          <w:szCs w:val="20"/>
        </w:rPr>
        <w:t xml:space="preserve"> </w:t>
      </w:r>
      <w:proofErr w:type="spellStart"/>
      <w:r w:rsidRPr="0022331B">
        <w:rPr>
          <w:i/>
          <w:sz w:val="20"/>
          <w:szCs w:val="20"/>
        </w:rPr>
        <w:t>Shuhaday-i</w:t>
      </w:r>
      <w:proofErr w:type="spellEnd"/>
      <w:r w:rsidRPr="0022331B">
        <w:rPr>
          <w:i/>
          <w:sz w:val="20"/>
          <w:szCs w:val="20"/>
        </w:rPr>
        <w:t xml:space="preserve"> Yazd </w:t>
      </w:r>
      <w:r w:rsidRPr="0022331B">
        <w:rPr>
          <w:sz w:val="20"/>
          <w:szCs w:val="20"/>
        </w:rPr>
        <w:t xml:space="preserve">(History of the Martyrs of Yazd), (Le </w:t>
      </w:r>
      <w:proofErr w:type="spellStart"/>
      <w:r w:rsidRPr="0022331B">
        <w:rPr>
          <w:sz w:val="20"/>
          <w:szCs w:val="20"/>
        </w:rPr>
        <w:t>Caire</w:t>
      </w:r>
      <w:proofErr w:type="spellEnd"/>
      <w:r w:rsidRPr="0022331B">
        <w:rPr>
          <w:sz w:val="20"/>
          <w:szCs w:val="20"/>
        </w:rPr>
        <w:t xml:space="preserve">, 1926), reprinted Karachi:  Baha’i Publishing Trust, 1978, for the history of the pogroms of 1903.  Also, Aqa Sayyid </w:t>
      </w:r>
      <w:proofErr w:type="spellStart"/>
      <w:r w:rsidRPr="0022331B">
        <w:rPr>
          <w:sz w:val="20"/>
          <w:szCs w:val="20"/>
        </w:rPr>
        <w:t>Abu’l-Qasim</w:t>
      </w:r>
      <w:proofErr w:type="spellEnd"/>
      <w:r w:rsidRPr="0022331B">
        <w:rPr>
          <w:sz w:val="20"/>
          <w:szCs w:val="20"/>
        </w:rPr>
        <w:t xml:space="preserve"> </w:t>
      </w:r>
      <w:proofErr w:type="spellStart"/>
      <w:r w:rsidRPr="0022331B">
        <w:rPr>
          <w:sz w:val="20"/>
          <w:szCs w:val="20"/>
        </w:rPr>
        <w:t>Bayda</w:t>
      </w:r>
      <w:proofErr w:type="spellEnd"/>
      <w:r w:rsidRPr="0022331B">
        <w:rPr>
          <w:sz w:val="20"/>
          <w:szCs w:val="20"/>
        </w:rPr>
        <w:t xml:space="preserve">, </w:t>
      </w:r>
      <w:r w:rsidRPr="0022331B">
        <w:rPr>
          <w:i/>
          <w:sz w:val="20"/>
          <w:szCs w:val="20"/>
        </w:rPr>
        <w:t>Tarikh-</w:t>
      </w:r>
      <w:proofErr w:type="spellStart"/>
      <w:r w:rsidRPr="0022331B">
        <w:rPr>
          <w:i/>
          <w:sz w:val="20"/>
          <w:szCs w:val="20"/>
        </w:rPr>
        <w:t>i</w:t>
      </w:r>
      <w:proofErr w:type="spellEnd"/>
      <w:r w:rsidRPr="0022331B">
        <w:rPr>
          <w:i/>
          <w:sz w:val="20"/>
          <w:szCs w:val="20"/>
        </w:rPr>
        <w:t xml:space="preserve"> </w:t>
      </w:r>
      <w:proofErr w:type="spellStart"/>
      <w:r w:rsidRPr="0022331B">
        <w:rPr>
          <w:i/>
          <w:sz w:val="20"/>
          <w:szCs w:val="20"/>
        </w:rPr>
        <w:t>Bayda</w:t>
      </w:r>
      <w:proofErr w:type="spellEnd"/>
      <w:r w:rsidRPr="0022331B">
        <w:rPr>
          <w:i/>
          <w:sz w:val="20"/>
          <w:szCs w:val="20"/>
        </w:rPr>
        <w:t xml:space="preserve"> </w:t>
      </w:r>
      <w:r w:rsidRPr="0022331B">
        <w:rPr>
          <w:sz w:val="20"/>
          <w:szCs w:val="20"/>
        </w:rPr>
        <w:t>(</w:t>
      </w:r>
      <w:proofErr w:type="spellStart"/>
      <w:r w:rsidRPr="0022331B">
        <w:rPr>
          <w:sz w:val="20"/>
          <w:szCs w:val="20"/>
        </w:rPr>
        <w:t>Bayda’s</w:t>
      </w:r>
      <w:proofErr w:type="spellEnd"/>
      <w:r w:rsidRPr="0022331B">
        <w:rPr>
          <w:sz w:val="20"/>
          <w:szCs w:val="20"/>
        </w:rPr>
        <w:t xml:space="preserve"> Narrative), ed. by </w:t>
      </w:r>
      <w:proofErr w:type="spellStart"/>
      <w:r w:rsidRPr="0022331B">
        <w:rPr>
          <w:sz w:val="20"/>
          <w:szCs w:val="20"/>
        </w:rPr>
        <w:t>Siyamak</w:t>
      </w:r>
      <w:proofErr w:type="spellEnd"/>
      <w:r w:rsidRPr="0022331B">
        <w:rPr>
          <w:sz w:val="20"/>
          <w:szCs w:val="20"/>
        </w:rPr>
        <w:t xml:space="preserve"> </w:t>
      </w:r>
      <w:proofErr w:type="spellStart"/>
      <w:r w:rsidRPr="0022331B">
        <w:rPr>
          <w:sz w:val="20"/>
          <w:szCs w:val="20"/>
        </w:rPr>
        <w:t>Zabini</w:t>
      </w:r>
      <w:proofErr w:type="spellEnd"/>
      <w:r w:rsidRPr="0022331B">
        <w:rPr>
          <w:sz w:val="20"/>
          <w:szCs w:val="20"/>
        </w:rPr>
        <w:t xml:space="preserve"> Moghaddam (Hofheim, Germany:  Baha’i Verlag, 2016).</w:t>
      </w:r>
    </w:p>
  </w:footnote>
  <w:footnote w:id="23">
    <w:p w14:paraId="6428F4E5" w14:textId="77777777" w:rsidR="0029228F" w:rsidRPr="0022331B" w:rsidRDefault="0029228F" w:rsidP="0029228F">
      <w:pPr>
        <w:pStyle w:val="FootnoteText"/>
        <w:rPr>
          <w:rFonts w:ascii="Times New Roman" w:hAnsi="Times New Roman"/>
          <w:sz w:val="20"/>
          <w:szCs w:val="20"/>
        </w:rPr>
      </w:pPr>
      <w:r w:rsidRPr="0022331B">
        <w:rPr>
          <w:rStyle w:val="FootnoteReference"/>
          <w:sz w:val="22"/>
          <w:szCs w:val="20"/>
        </w:rPr>
        <w:footnoteRef/>
      </w:r>
      <w:r w:rsidRPr="0022331B">
        <w:rPr>
          <w:sz w:val="20"/>
          <w:szCs w:val="20"/>
        </w:rPr>
        <w:tab/>
        <w:t xml:space="preserve">Moojan Momen, “Iran:  Province of Yazd”, draft of article for “The Baha’i </w:t>
      </w:r>
      <w:proofErr w:type="spellStart"/>
      <w:r w:rsidRPr="0022331B">
        <w:rPr>
          <w:sz w:val="20"/>
          <w:szCs w:val="20"/>
        </w:rPr>
        <w:t>Encyclopedia</w:t>
      </w:r>
      <w:proofErr w:type="spellEnd"/>
      <w:r w:rsidRPr="0022331B">
        <w:rPr>
          <w:sz w:val="20"/>
          <w:szCs w:val="20"/>
        </w:rPr>
        <w:t xml:space="preserve">” (1994).  </w:t>
      </w:r>
      <w:r w:rsidRPr="0022331B">
        <w:rPr>
          <w:rFonts w:ascii="Times New Roman" w:hAnsi="Times New Roman"/>
          <w:sz w:val="20"/>
          <w:szCs w:val="20"/>
        </w:rPr>
        <w:t>https://bahai-library.com/momen_encyclopedia_yazd.</w:t>
      </w:r>
    </w:p>
  </w:footnote>
  <w:footnote w:id="24">
    <w:p w14:paraId="1247D780" w14:textId="77777777" w:rsidR="0029228F" w:rsidRPr="0022331B" w:rsidRDefault="0029228F" w:rsidP="005C435D">
      <w:pPr>
        <w:pStyle w:val="FootnoteText"/>
        <w:rPr>
          <w:sz w:val="20"/>
          <w:szCs w:val="20"/>
        </w:rPr>
      </w:pPr>
      <w:r w:rsidRPr="0022331B">
        <w:rPr>
          <w:rStyle w:val="FootnoteReference"/>
          <w:sz w:val="22"/>
          <w:szCs w:val="20"/>
        </w:rPr>
        <w:footnoteRef/>
      </w:r>
      <w:r w:rsidRPr="0022331B">
        <w:rPr>
          <w:sz w:val="20"/>
          <w:szCs w:val="20"/>
        </w:rPr>
        <w:tab/>
      </w:r>
      <w:proofErr w:type="spellStart"/>
      <w:r w:rsidRPr="0022331B">
        <w:rPr>
          <w:i/>
          <w:sz w:val="20"/>
          <w:szCs w:val="20"/>
        </w:rPr>
        <w:t>Encyclopedia</w:t>
      </w:r>
      <w:proofErr w:type="spellEnd"/>
      <w:r w:rsidRPr="0022331B">
        <w:rPr>
          <w:i/>
          <w:sz w:val="20"/>
          <w:szCs w:val="20"/>
        </w:rPr>
        <w:t xml:space="preserve"> </w:t>
      </w:r>
      <w:proofErr w:type="spellStart"/>
      <w:r w:rsidRPr="0022331B">
        <w:rPr>
          <w:i/>
          <w:sz w:val="20"/>
          <w:szCs w:val="20"/>
        </w:rPr>
        <w:t>Iranica</w:t>
      </w:r>
      <w:proofErr w:type="spellEnd"/>
      <w:r w:rsidRPr="0022331B">
        <w:rPr>
          <w:sz w:val="20"/>
          <w:szCs w:val="20"/>
        </w:rPr>
        <w:t xml:space="preserve">, </w:t>
      </w:r>
      <w:proofErr w:type="spellStart"/>
      <w:r w:rsidRPr="0022331B">
        <w:rPr>
          <w:sz w:val="20"/>
          <w:szCs w:val="20"/>
        </w:rPr>
        <w:t>s.v.</w:t>
      </w:r>
      <w:proofErr w:type="spellEnd"/>
      <w:r w:rsidRPr="0022331B">
        <w:rPr>
          <w:sz w:val="20"/>
          <w:szCs w:val="20"/>
        </w:rPr>
        <w:t xml:space="preserve">, </w:t>
      </w:r>
      <w:r w:rsidR="005C435D" w:rsidRPr="0022331B">
        <w:rPr>
          <w:sz w:val="20"/>
          <w:szCs w:val="20"/>
        </w:rPr>
        <w:t>“</w:t>
      </w:r>
      <w:r w:rsidRPr="0022331B">
        <w:rPr>
          <w:sz w:val="20"/>
          <w:szCs w:val="20"/>
        </w:rPr>
        <w:t>Inheritance ii.  Islamic Period</w:t>
      </w:r>
      <w:r w:rsidR="005C435D" w:rsidRPr="0022331B">
        <w:rPr>
          <w:sz w:val="20"/>
          <w:szCs w:val="20"/>
        </w:rPr>
        <w:t>”</w:t>
      </w:r>
      <w:r w:rsidRPr="0022331B">
        <w:rPr>
          <w:sz w:val="20"/>
          <w:szCs w:val="20"/>
        </w:rPr>
        <w:t>.</w:t>
      </w:r>
    </w:p>
  </w:footnote>
  <w:footnote w:id="25">
    <w:p w14:paraId="692308F6" w14:textId="77777777" w:rsidR="0029228F" w:rsidRPr="0022331B" w:rsidRDefault="0029228F" w:rsidP="0029228F">
      <w:pPr>
        <w:pStyle w:val="FootnoteText"/>
        <w:rPr>
          <w:sz w:val="20"/>
          <w:szCs w:val="20"/>
        </w:rPr>
      </w:pPr>
      <w:r w:rsidRPr="0022331B">
        <w:rPr>
          <w:rStyle w:val="FootnoteReference"/>
          <w:sz w:val="22"/>
          <w:szCs w:val="20"/>
        </w:rPr>
        <w:footnoteRef/>
      </w:r>
      <w:r w:rsidRPr="0022331B">
        <w:rPr>
          <w:sz w:val="20"/>
          <w:szCs w:val="20"/>
        </w:rPr>
        <w:tab/>
        <w:t>Some say six months and some nine months.  However, there is agreement that he was not able to see Baha’u’llah because of the latter’s strict terms of imprisonment.  Nonetheless, upon arrival in the household, Ghulam</w:t>
      </w:r>
      <w:proofErr w:type="gramStart"/>
      <w:r w:rsidRPr="0022331B">
        <w:rPr>
          <w:sz w:val="20"/>
          <w:szCs w:val="20"/>
        </w:rPr>
        <w:t>-‘</w:t>
      </w:r>
      <w:proofErr w:type="gramEnd"/>
      <w:r w:rsidRPr="0022331B">
        <w:rPr>
          <w:sz w:val="20"/>
          <w:szCs w:val="20"/>
        </w:rPr>
        <w:t xml:space="preserve">Ali gave his </w:t>
      </w:r>
      <w:r w:rsidRPr="0022331B">
        <w:rPr>
          <w:i/>
          <w:sz w:val="20"/>
          <w:szCs w:val="20"/>
        </w:rPr>
        <w:t>700 tuman</w:t>
      </w:r>
      <w:r w:rsidRPr="0022331B">
        <w:rPr>
          <w:sz w:val="20"/>
          <w:szCs w:val="20"/>
        </w:rPr>
        <w:t xml:space="preserve"> to ‘Abdu’l-Baha (1844–1921), the eldest son of Baha’u’llah who was in charge of household affairs.  This may have been intended as a contribution, since the 700 </w:t>
      </w:r>
      <w:r w:rsidRPr="0022331B">
        <w:rPr>
          <w:i/>
          <w:sz w:val="20"/>
          <w:szCs w:val="20"/>
        </w:rPr>
        <w:t xml:space="preserve">tuman </w:t>
      </w:r>
      <w:r w:rsidRPr="0022331B">
        <w:rPr>
          <w:sz w:val="20"/>
          <w:szCs w:val="20"/>
        </w:rPr>
        <w:t xml:space="preserve">were returned to him, over his protests, when he left Baha’u’llah’s household.  He finally agreed to accept 600 </w:t>
      </w:r>
      <w:r w:rsidRPr="0022331B">
        <w:rPr>
          <w:i/>
          <w:sz w:val="20"/>
          <w:szCs w:val="20"/>
        </w:rPr>
        <w:t>tuman</w:t>
      </w:r>
      <w:r w:rsidRPr="0022331B">
        <w:rPr>
          <w:sz w:val="20"/>
          <w:szCs w:val="20"/>
        </w:rPr>
        <w:t xml:space="preserve"> back.  After he left Palestine, he </w:t>
      </w:r>
      <w:proofErr w:type="spellStart"/>
      <w:r w:rsidRPr="0022331B">
        <w:rPr>
          <w:sz w:val="20"/>
          <w:szCs w:val="20"/>
        </w:rPr>
        <w:t>traveled</w:t>
      </w:r>
      <w:proofErr w:type="spellEnd"/>
      <w:r w:rsidRPr="0022331B">
        <w:rPr>
          <w:sz w:val="20"/>
          <w:szCs w:val="20"/>
        </w:rPr>
        <w:t xml:space="preserve"> first to Alexandria, Egypt.  While there, he received a message that Baha’u’llah was able to receive visitors again, and that he was invited back to the Holy Land.  On the second visit, he met with Baha’u’llah.  Therefore, his descendants proudly insist that he was able to achieve two pilgrimages during his lifetime.</w:t>
      </w:r>
    </w:p>
  </w:footnote>
  <w:footnote w:id="26">
    <w:p w14:paraId="001BBFCE" w14:textId="77777777" w:rsidR="0029228F" w:rsidRPr="0022331B" w:rsidRDefault="0029228F" w:rsidP="0029228F">
      <w:pPr>
        <w:pStyle w:val="FootnoteText"/>
        <w:rPr>
          <w:sz w:val="20"/>
          <w:szCs w:val="20"/>
        </w:rPr>
      </w:pPr>
      <w:r w:rsidRPr="0022331B">
        <w:rPr>
          <w:rStyle w:val="FootnoteReference"/>
          <w:sz w:val="22"/>
          <w:szCs w:val="20"/>
        </w:rPr>
        <w:footnoteRef/>
      </w:r>
      <w:r w:rsidRPr="0022331B">
        <w:rPr>
          <w:sz w:val="20"/>
          <w:szCs w:val="20"/>
        </w:rPr>
        <w:tab/>
        <w:t xml:space="preserve">I am grateful to Dr Nader </w:t>
      </w:r>
      <w:proofErr w:type="spellStart"/>
      <w:r w:rsidRPr="0022331B">
        <w:rPr>
          <w:sz w:val="20"/>
          <w:szCs w:val="20"/>
        </w:rPr>
        <w:t>Saiedi</w:t>
      </w:r>
      <w:proofErr w:type="spellEnd"/>
      <w:r w:rsidRPr="0022331B">
        <w:rPr>
          <w:sz w:val="20"/>
          <w:szCs w:val="20"/>
        </w:rPr>
        <w:t xml:space="preserve"> for the translation of this text from the original Persian.</w:t>
      </w:r>
    </w:p>
  </w:footnote>
  <w:footnote w:id="27">
    <w:p w14:paraId="4399EDAB" w14:textId="77777777" w:rsidR="0029228F" w:rsidRPr="0022331B" w:rsidRDefault="0029228F" w:rsidP="0029228F">
      <w:pPr>
        <w:pStyle w:val="FootnoteText"/>
        <w:rPr>
          <w:sz w:val="20"/>
          <w:szCs w:val="20"/>
        </w:rPr>
      </w:pPr>
      <w:r w:rsidRPr="0022331B">
        <w:rPr>
          <w:rStyle w:val="FootnoteReference"/>
          <w:sz w:val="22"/>
          <w:szCs w:val="20"/>
        </w:rPr>
        <w:footnoteRef/>
      </w:r>
      <w:r w:rsidRPr="0022331B">
        <w:rPr>
          <w:sz w:val="20"/>
          <w:szCs w:val="20"/>
        </w:rPr>
        <w:tab/>
        <w:t>The remainder of the Tablet reads</w:t>
      </w:r>
      <w:proofErr w:type="gramStart"/>
      <w:r w:rsidRPr="0022331B">
        <w:rPr>
          <w:sz w:val="20"/>
          <w:szCs w:val="20"/>
        </w:rPr>
        <w:t>:  “</w:t>
      </w:r>
      <w:proofErr w:type="gramEnd"/>
      <w:r w:rsidRPr="0022331B">
        <w:rPr>
          <w:sz w:val="20"/>
          <w:szCs w:val="20"/>
        </w:rPr>
        <w:t xml:space="preserve">Say:  Praise be unto Thee, O Lord of Names, and glory be to Thee, O Creator of Heavens.  I beseech Thee by the lights of the Throne, and the mysteries of the Cause, to enable me to hold fast unto the cord of steadfastness in thy love, and to cleave to that which Thou hast commanded me in Thy Tablets.  Thou beholdest, O my God, Thy servant detached from all except thee and earnestly seeking thy bounty and </w:t>
      </w:r>
      <w:proofErr w:type="spellStart"/>
      <w:r w:rsidRPr="0022331B">
        <w:rPr>
          <w:sz w:val="20"/>
          <w:szCs w:val="20"/>
        </w:rPr>
        <w:t>favor</w:t>
      </w:r>
      <w:proofErr w:type="spellEnd"/>
      <w:r w:rsidRPr="0022331B">
        <w:rPr>
          <w:sz w:val="20"/>
          <w:szCs w:val="20"/>
        </w:rPr>
        <w:t>.  Ordain then for him that which beseemeth the heaven of Thy grace and the ocean of Thy bounty.  Powerful art Thou to do what pleaseth Thee.  There is none other God but Thee, the Forgiving, the Gracious.”</w:t>
      </w:r>
    </w:p>
  </w:footnote>
  <w:footnote w:id="28">
    <w:p w14:paraId="033F9CEE" w14:textId="77777777" w:rsidR="0029228F" w:rsidRPr="0022331B" w:rsidRDefault="0029228F" w:rsidP="00537539">
      <w:pPr>
        <w:pStyle w:val="FootnoteText"/>
        <w:rPr>
          <w:sz w:val="20"/>
          <w:szCs w:val="20"/>
        </w:rPr>
      </w:pPr>
      <w:r w:rsidRPr="0022331B">
        <w:rPr>
          <w:rStyle w:val="FootnoteReference"/>
          <w:sz w:val="22"/>
          <w:szCs w:val="20"/>
        </w:rPr>
        <w:footnoteRef/>
      </w:r>
      <w:r w:rsidRPr="0022331B">
        <w:rPr>
          <w:sz w:val="20"/>
          <w:szCs w:val="20"/>
        </w:rPr>
        <w:tab/>
        <w:t>Certainly, the 40-camels tale should not be understood literally.  No doubt, Ghulam-‘Ali did return to Yazd with camels.  The date of his return is unclear.  The number 40 probably simply indicates a large number.</w:t>
      </w:r>
    </w:p>
  </w:footnote>
  <w:footnote w:id="29">
    <w:p w14:paraId="3A74163A" w14:textId="77777777" w:rsidR="00F76449" w:rsidRPr="0022331B" w:rsidRDefault="00F76449" w:rsidP="00F76449">
      <w:pPr>
        <w:pStyle w:val="FootnoteText"/>
        <w:rPr>
          <w:sz w:val="20"/>
          <w:szCs w:val="20"/>
          <w:lang w:val="es-ES_tradnl"/>
        </w:rPr>
      </w:pPr>
      <w:r w:rsidRPr="0022331B">
        <w:rPr>
          <w:rStyle w:val="FootnoteReference"/>
          <w:sz w:val="22"/>
          <w:szCs w:val="20"/>
        </w:rPr>
        <w:footnoteRef/>
      </w:r>
      <w:r w:rsidRPr="0022331B">
        <w:rPr>
          <w:sz w:val="20"/>
          <w:szCs w:val="20"/>
          <w:lang w:val="es-ES_tradnl"/>
        </w:rPr>
        <w:tab/>
      </w:r>
      <w:proofErr w:type="spellStart"/>
      <w:r w:rsidRPr="0022331B">
        <w:rPr>
          <w:sz w:val="20"/>
          <w:szCs w:val="20"/>
          <w:lang w:val="es-ES_tradnl"/>
        </w:rPr>
        <w:t>Kaníz</w:t>
      </w:r>
      <w:proofErr w:type="spellEnd"/>
      <w:r w:rsidRPr="0022331B">
        <w:rPr>
          <w:sz w:val="20"/>
          <w:szCs w:val="20"/>
          <w:lang w:val="es-ES_tradnl"/>
        </w:rPr>
        <w:t xml:space="preserve">, </w:t>
      </w:r>
      <w:proofErr w:type="spellStart"/>
      <w:r w:rsidRPr="0022331B">
        <w:rPr>
          <w:sz w:val="20"/>
          <w:szCs w:val="20"/>
          <w:lang w:val="es-ES_tradnl"/>
        </w:rPr>
        <w:t>F</w:t>
      </w:r>
      <w:r w:rsidRPr="0022331B">
        <w:rPr>
          <w:iCs w:val="0"/>
          <w:sz w:val="20"/>
          <w:szCs w:val="20"/>
          <w:lang w:val="es-ES_tradnl"/>
        </w:rPr>
        <w:t>i</w:t>
      </w:r>
      <w:r w:rsidRPr="0022331B">
        <w:rPr>
          <w:rFonts w:cstheme="majorBidi"/>
          <w:iCs w:val="0"/>
          <w:sz w:val="20"/>
          <w:szCs w:val="20"/>
          <w:lang w:val="es-ES_tradnl"/>
        </w:rPr>
        <w:t>ḍḍ</w:t>
      </w:r>
      <w:r w:rsidRPr="0022331B">
        <w:rPr>
          <w:iCs w:val="0"/>
          <w:sz w:val="20"/>
          <w:szCs w:val="20"/>
          <w:lang w:val="es-ES_tradnl"/>
        </w:rPr>
        <w:t>a</w:t>
      </w:r>
      <w:proofErr w:type="spellEnd"/>
      <w:r w:rsidRPr="0022331B">
        <w:rPr>
          <w:iCs w:val="0"/>
          <w:sz w:val="20"/>
          <w:szCs w:val="20"/>
          <w:lang w:val="es-ES_tradnl"/>
        </w:rPr>
        <w:t xml:space="preserve">, </w:t>
      </w:r>
      <w:proofErr w:type="spellStart"/>
      <w:r w:rsidRPr="0022331B">
        <w:rPr>
          <w:rFonts w:eastAsia="Times New Roman"/>
          <w:iCs w:val="0"/>
          <w:sz w:val="20"/>
          <w:szCs w:val="20"/>
          <w:lang w:val="es-ES_tradnl"/>
        </w:rPr>
        <w:t>Za‘farán</w:t>
      </w:r>
      <w:proofErr w:type="spellEnd"/>
      <w:r w:rsidRPr="0022331B">
        <w:rPr>
          <w:rFonts w:eastAsia="Times New Roman"/>
          <w:iCs w:val="0"/>
          <w:sz w:val="20"/>
          <w:szCs w:val="20"/>
          <w:lang w:val="es-ES_tradnl"/>
        </w:rPr>
        <w:t xml:space="preserve"> and </w:t>
      </w:r>
      <w:r w:rsidRPr="0022331B">
        <w:rPr>
          <w:rFonts w:eastAsia="Times New Roman"/>
          <w:iCs w:val="0"/>
          <w:sz w:val="20"/>
          <w:szCs w:val="20"/>
          <w:u w:val="single"/>
          <w:lang w:val="es-ES_tradnl"/>
        </w:rPr>
        <w:t>Sh</w:t>
      </w:r>
      <w:r w:rsidRPr="0022331B">
        <w:rPr>
          <w:rFonts w:eastAsia="Times New Roman"/>
          <w:iCs w:val="0"/>
          <w:sz w:val="20"/>
          <w:szCs w:val="20"/>
          <w:lang w:val="es-ES_tradnl"/>
        </w:rPr>
        <w:t>írín.</w:t>
      </w:r>
    </w:p>
  </w:footnote>
  <w:footnote w:id="30">
    <w:p w14:paraId="128578A8" w14:textId="77777777" w:rsidR="0029228F" w:rsidRPr="0022331B" w:rsidRDefault="0029228F" w:rsidP="00537539">
      <w:pPr>
        <w:pStyle w:val="FootnoteText"/>
        <w:rPr>
          <w:sz w:val="20"/>
          <w:szCs w:val="20"/>
        </w:rPr>
      </w:pPr>
      <w:r w:rsidRPr="0022331B">
        <w:rPr>
          <w:rStyle w:val="FootnoteReference"/>
          <w:sz w:val="22"/>
          <w:szCs w:val="20"/>
        </w:rPr>
        <w:footnoteRef/>
      </w:r>
      <w:r w:rsidR="00537539" w:rsidRPr="0022331B">
        <w:rPr>
          <w:sz w:val="20"/>
          <w:szCs w:val="20"/>
        </w:rPr>
        <w:tab/>
      </w:r>
      <w:r w:rsidRPr="0022331B">
        <w:rPr>
          <w:sz w:val="20"/>
          <w:szCs w:val="20"/>
        </w:rPr>
        <w:t xml:space="preserve">Ronald </w:t>
      </w:r>
      <w:r w:rsidRPr="0022331B">
        <w:rPr>
          <w:rFonts w:ascii="Times New Roman" w:hAnsi="Times New Roman"/>
          <w:sz w:val="20"/>
          <w:szCs w:val="20"/>
        </w:rPr>
        <w:t xml:space="preserve">Segal, </w:t>
      </w:r>
      <w:r w:rsidRPr="0022331B">
        <w:rPr>
          <w:rFonts w:ascii="Times New Roman" w:hAnsi="Times New Roman"/>
          <w:i/>
          <w:sz w:val="20"/>
          <w:szCs w:val="20"/>
        </w:rPr>
        <w:t>Islam’s Black Slaves:</w:t>
      </w:r>
      <w:r w:rsidR="00537539" w:rsidRPr="0022331B">
        <w:rPr>
          <w:rFonts w:ascii="Times New Roman" w:hAnsi="Times New Roman"/>
          <w:i/>
          <w:sz w:val="20"/>
          <w:szCs w:val="20"/>
        </w:rPr>
        <w:t xml:space="preserve"> </w:t>
      </w:r>
      <w:r w:rsidRPr="0022331B">
        <w:rPr>
          <w:rFonts w:ascii="Times New Roman" w:hAnsi="Times New Roman"/>
          <w:i/>
          <w:sz w:val="20"/>
          <w:szCs w:val="20"/>
        </w:rPr>
        <w:t xml:space="preserve"> The Other Black Diaspora</w:t>
      </w:r>
      <w:r w:rsidRPr="0022331B">
        <w:rPr>
          <w:rFonts w:ascii="Times New Roman" w:hAnsi="Times New Roman"/>
          <w:sz w:val="20"/>
          <w:szCs w:val="20"/>
        </w:rPr>
        <w:t xml:space="preserve"> (New York:  Farrar, Strauss and Giroux, 2001) 127.  Such an assessment rests on the assumption that a racial classification of the Iranian population into contemporary Western categories is viable.</w:t>
      </w:r>
    </w:p>
  </w:footnote>
  <w:footnote w:id="31">
    <w:p w14:paraId="25727763" w14:textId="77777777" w:rsidR="0029228F" w:rsidRPr="0022331B" w:rsidRDefault="0029228F" w:rsidP="00537539">
      <w:pPr>
        <w:pStyle w:val="FootnoteText"/>
        <w:rPr>
          <w:sz w:val="20"/>
          <w:szCs w:val="20"/>
        </w:rPr>
      </w:pPr>
      <w:r w:rsidRPr="0022331B">
        <w:rPr>
          <w:rStyle w:val="FootnoteReference"/>
          <w:sz w:val="22"/>
          <w:szCs w:val="20"/>
        </w:rPr>
        <w:footnoteRef/>
      </w:r>
      <w:r w:rsidR="00537539" w:rsidRPr="0022331B">
        <w:rPr>
          <w:sz w:val="20"/>
          <w:szCs w:val="20"/>
        </w:rPr>
        <w:tab/>
      </w:r>
      <w:r w:rsidRPr="0022331B">
        <w:rPr>
          <w:sz w:val="20"/>
          <w:szCs w:val="20"/>
        </w:rPr>
        <w:t xml:space="preserve">Gayatri </w:t>
      </w:r>
      <w:proofErr w:type="spellStart"/>
      <w:r w:rsidRPr="0022331B">
        <w:rPr>
          <w:sz w:val="20"/>
          <w:szCs w:val="20"/>
        </w:rPr>
        <w:t>Chakravorty</w:t>
      </w:r>
      <w:proofErr w:type="spellEnd"/>
      <w:r w:rsidRPr="0022331B">
        <w:rPr>
          <w:sz w:val="20"/>
          <w:szCs w:val="20"/>
        </w:rPr>
        <w:t xml:space="preserve"> Spivak, “Can the Subaltern Speak?” in </w:t>
      </w:r>
      <w:r w:rsidRPr="0022331B">
        <w:rPr>
          <w:i/>
          <w:sz w:val="20"/>
          <w:szCs w:val="20"/>
        </w:rPr>
        <w:t>Marxism and the Interpretation of Culture</w:t>
      </w:r>
      <w:r w:rsidRPr="0022331B">
        <w:rPr>
          <w:sz w:val="20"/>
          <w:szCs w:val="20"/>
        </w:rPr>
        <w:t xml:space="preserve">, ed. by C. Nelson and L. Grossberg (Basingstoke: </w:t>
      </w:r>
      <w:r w:rsidR="00537539" w:rsidRPr="0022331B">
        <w:rPr>
          <w:sz w:val="20"/>
          <w:szCs w:val="20"/>
        </w:rPr>
        <w:t xml:space="preserve"> </w:t>
      </w:r>
      <w:r w:rsidRPr="0022331B">
        <w:rPr>
          <w:sz w:val="20"/>
          <w:szCs w:val="20"/>
        </w:rPr>
        <w:t>MacMillan Education, 1988) 272</w:t>
      </w:r>
      <w:r w:rsidR="00537539" w:rsidRPr="0022331B">
        <w:rPr>
          <w:sz w:val="20"/>
          <w:szCs w:val="20"/>
        </w:rPr>
        <w:t>–</w:t>
      </w:r>
      <w:r w:rsidRPr="0022331B">
        <w:rPr>
          <w:sz w:val="20"/>
          <w:szCs w:val="20"/>
        </w:rPr>
        <w:t>313.</w:t>
      </w:r>
    </w:p>
  </w:footnote>
  <w:footnote w:id="32">
    <w:p w14:paraId="335AC6D7" w14:textId="77777777" w:rsidR="0029228F" w:rsidRPr="0022331B" w:rsidRDefault="0029228F" w:rsidP="00B167A8">
      <w:pPr>
        <w:pStyle w:val="FootnoteText"/>
        <w:rPr>
          <w:sz w:val="20"/>
          <w:szCs w:val="20"/>
        </w:rPr>
      </w:pPr>
      <w:r w:rsidRPr="0022331B">
        <w:rPr>
          <w:rStyle w:val="FootnoteReference"/>
          <w:sz w:val="22"/>
          <w:szCs w:val="20"/>
        </w:rPr>
        <w:footnoteRef/>
      </w:r>
      <w:r w:rsidR="00B167A8" w:rsidRPr="0022331B">
        <w:rPr>
          <w:sz w:val="20"/>
          <w:szCs w:val="20"/>
        </w:rPr>
        <w:tab/>
        <w:t>i</w:t>
      </w:r>
      <w:r w:rsidRPr="0022331B">
        <w:rPr>
          <w:sz w:val="20"/>
          <w:szCs w:val="20"/>
        </w:rPr>
        <w:t>bid., 104.</w:t>
      </w:r>
    </w:p>
  </w:footnote>
  <w:footnote w:id="33">
    <w:p w14:paraId="3C8AF096" w14:textId="77777777" w:rsidR="0029228F" w:rsidRPr="0022331B" w:rsidRDefault="0029228F" w:rsidP="00B167A8">
      <w:pPr>
        <w:pStyle w:val="FootnoteText"/>
        <w:rPr>
          <w:sz w:val="20"/>
          <w:szCs w:val="20"/>
        </w:rPr>
      </w:pPr>
      <w:r w:rsidRPr="0022331B">
        <w:rPr>
          <w:rStyle w:val="FootnoteReference"/>
          <w:sz w:val="22"/>
          <w:szCs w:val="20"/>
        </w:rPr>
        <w:footnoteRef/>
      </w:r>
      <w:r w:rsidR="00B167A8" w:rsidRPr="0022331B">
        <w:rPr>
          <w:sz w:val="20"/>
          <w:szCs w:val="20"/>
        </w:rPr>
        <w:tab/>
      </w:r>
      <w:r w:rsidRPr="0022331B">
        <w:rPr>
          <w:sz w:val="20"/>
          <w:szCs w:val="20"/>
        </w:rPr>
        <w:t xml:space="preserve">Eve M. </w:t>
      </w:r>
      <w:proofErr w:type="spellStart"/>
      <w:r w:rsidRPr="0022331B">
        <w:rPr>
          <w:sz w:val="20"/>
          <w:szCs w:val="20"/>
        </w:rPr>
        <w:t>Troutt</w:t>
      </w:r>
      <w:proofErr w:type="spellEnd"/>
      <w:r w:rsidRPr="0022331B">
        <w:rPr>
          <w:sz w:val="20"/>
          <w:szCs w:val="20"/>
        </w:rPr>
        <w:t xml:space="preserve"> Powell, “Will the Subaltern Ever Speak?</w:t>
      </w:r>
      <w:r w:rsidR="00B167A8" w:rsidRPr="0022331B">
        <w:rPr>
          <w:sz w:val="20"/>
          <w:szCs w:val="20"/>
        </w:rPr>
        <w:t xml:space="preserve"> </w:t>
      </w:r>
      <w:r w:rsidRPr="0022331B">
        <w:rPr>
          <w:sz w:val="20"/>
          <w:szCs w:val="20"/>
        </w:rPr>
        <w:t xml:space="preserve"> Finding African Slaves in the Historiography of the Middle East”</w:t>
      </w:r>
      <w:r w:rsidR="00B167A8" w:rsidRPr="0022331B">
        <w:rPr>
          <w:sz w:val="20"/>
          <w:szCs w:val="20"/>
        </w:rPr>
        <w:t>,</w:t>
      </w:r>
      <w:r w:rsidRPr="0022331B">
        <w:rPr>
          <w:sz w:val="20"/>
          <w:szCs w:val="20"/>
        </w:rPr>
        <w:t xml:space="preserve"> in </w:t>
      </w:r>
      <w:r w:rsidRPr="0022331B">
        <w:rPr>
          <w:i/>
          <w:sz w:val="20"/>
          <w:szCs w:val="20"/>
        </w:rPr>
        <w:t>Middle East Historiographies: Narrating the Twentieth Century</w:t>
      </w:r>
      <w:r w:rsidRPr="0022331B">
        <w:rPr>
          <w:sz w:val="20"/>
          <w:szCs w:val="20"/>
        </w:rPr>
        <w:t xml:space="preserve">, ed. by Israel </w:t>
      </w:r>
      <w:proofErr w:type="spellStart"/>
      <w:r w:rsidRPr="0022331B">
        <w:rPr>
          <w:sz w:val="20"/>
          <w:szCs w:val="20"/>
        </w:rPr>
        <w:t>Gershoni</w:t>
      </w:r>
      <w:proofErr w:type="spellEnd"/>
      <w:r w:rsidRPr="0022331B">
        <w:rPr>
          <w:sz w:val="20"/>
          <w:szCs w:val="20"/>
        </w:rPr>
        <w:t xml:space="preserve">, et al. (Seattle: </w:t>
      </w:r>
      <w:r w:rsidR="00B167A8" w:rsidRPr="0022331B">
        <w:rPr>
          <w:sz w:val="20"/>
          <w:szCs w:val="20"/>
        </w:rPr>
        <w:t xml:space="preserve"> </w:t>
      </w:r>
      <w:r w:rsidRPr="0022331B">
        <w:rPr>
          <w:sz w:val="20"/>
          <w:szCs w:val="20"/>
        </w:rPr>
        <w:t xml:space="preserve">University of </w:t>
      </w:r>
      <w:proofErr w:type="spellStart"/>
      <w:r w:rsidRPr="0022331B">
        <w:rPr>
          <w:sz w:val="20"/>
          <w:szCs w:val="20"/>
        </w:rPr>
        <w:t>Washinton</w:t>
      </w:r>
      <w:proofErr w:type="spellEnd"/>
      <w:r w:rsidRPr="0022331B">
        <w:rPr>
          <w:sz w:val="20"/>
          <w:szCs w:val="20"/>
        </w:rPr>
        <w:t>, 2006).</w:t>
      </w:r>
    </w:p>
  </w:footnote>
  <w:footnote w:id="34">
    <w:p w14:paraId="393C7319" w14:textId="77777777" w:rsidR="0029228F" w:rsidRPr="0022331B" w:rsidRDefault="0029228F" w:rsidP="00B167A8">
      <w:pPr>
        <w:pStyle w:val="FootnoteText"/>
        <w:rPr>
          <w:sz w:val="20"/>
          <w:szCs w:val="20"/>
        </w:rPr>
      </w:pPr>
      <w:r w:rsidRPr="0022331B">
        <w:rPr>
          <w:rStyle w:val="FootnoteReference"/>
          <w:sz w:val="22"/>
          <w:szCs w:val="20"/>
        </w:rPr>
        <w:footnoteRef/>
      </w:r>
      <w:r w:rsidR="00B167A8" w:rsidRPr="0022331B">
        <w:rPr>
          <w:sz w:val="20"/>
          <w:szCs w:val="20"/>
        </w:rPr>
        <w:tab/>
      </w:r>
      <w:r w:rsidRPr="0022331B">
        <w:rPr>
          <w:sz w:val="20"/>
          <w:szCs w:val="20"/>
        </w:rPr>
        <w:t>Edward A. Alpers and Matthew S. Hopper.</w:t>
      </w:r>
      <w:r w:rsidR="00B167A8" w:rsidRPr="0022331B">
        <w:rPr>
          <w:sz w:val="20"/>
          <w:szCs w:val="20"/>
        </w:rPr>
        <w:t xml:space="preserve"> </w:t>
      </w:r>
      <w:r w:rsidRPr="0022331B">
        <w:rPr>
          <w:sz w:val="20"/>
          <w:szCs w:val="20"/>
        </w:rPr>
        <w:t xml:space="preserve"> “Speaking for Themselves?</w:t>
      </w:r>
      <w:r w:rsidR="00B167A8" w:rsidRPr="0022331B">
        <w:rPr>
          <w:sz w:val="20"/>
          <w:szCs w:val="20"/>
        </w:rPr>
        <w:t xml:space="preserve"> </w:t>
      </w:r>
      <w:r w:rsidRPr="0022331B">
        <w:rPr>
          <w:sz w:val="20"/>
          <w:szCs w:val="20"/>
        </w:rPr>
        <w:t xml:space="preserve"> Understanding African Freed Slave Testimonies from the Western Indian Ocean, 1850s</w:t>
      </w:r>
      <w:r w:rsidR="00B167A8" w:rsidRPr="0022331B">
        <w:rPr>
          <w:sz w:val="20"/>
          <w:szCs w:val="20"/>
        </w:rPr>
        <w:t>–</w:t>
      </w:r>
      <w:r w:rsidRPr="0022331B">
        <w:rPr>
          <w:sz w:val="20"/>
          <w:szCs w:val="20"/>
        </w:rPr>
        <w:t>1930s”</w:t>
      </w:r>
      <w:r w:rsidR="00B167A8" w:rsidRPr="0022331B">
        <w:rPr>
          <w:sz w:val="20"/>
          <w:szCs w:val="20"/>
        </w:rPr>
        <w:t>,</w:t>
      </w:r>
      <w:r w:rsidRPr="0022331B">
        <w:rPr>
          <w:sz w:val="20"/>
          <w:szCs w:val="20"/>
        </w:rPr>
        <w:t xml:space="preserve"> </w:t>
      </w:r>
      <w:r w:rsidRPr="0022331B">
        <w:rPr>
          <w:i/>
          <w:sz w:val="20"/>
          <w:szCs w:val="20"/>
        </w:rPr>
        <w:t>Journal of Indian Ocean World Studies</w:t>
      </w:r>
      <w:r w:rsidRPr="0022331B">
        <w:rPr>
          <w:sz w:val="20"/>
          <w:szCs w:val="20"/>
        </w:rPr>
        <w:t>, 1 (2017), 60</w:t>
      </w:r>
      <w:r w:rsidR="00B167A8" w:rsidRPr="0022331B">
        <w:rPr>
          <w:sz w:val="20"/>
          <w:szCs w:val="20"/>
        </w:rPr>
        <w:t>–</w:t>
      </w:r>
      <w:r w:rsidRPr="0022331B">
        <w:rPr>
          <w:sz w:val="20"/>
          <w:szCs w:val="20"/>
        </w:rPr>
        <w:t>88.</w:t>
      </w:r>
    </w:p>
  </w:footnote>
  <w:footnote w:id="35">
    <w:p w14:paraId="5F18604B" w14:textId="77777777" w:rsidR="0029228F" w:rsidRPr="0022331B" w:rsidRDefault="0029228F" w:rsidP="00B167A8">
      <w:pPr>
        <w:pStyle w:val="FootnoteText"/>
        <w:rPr>
          <w:sz w:val="20"/>
          <w:szCs w:val="20"/>
        </w:rPr>
      </w:pPr>
      <w:r w:rsidRPr="0022331B">
        <w:rPr>
          <w:rStyle w:val="FootnoteReference"/>
          <w:sz w:val="22"/>
          <w:szCs w:val="20"/>
        </w:rPr>
        <w:footnoteRef/>
      </w:r>
      <w:r w:rsidR="00B167A8" w:rsidRPr="0022331B">
        <w:rPr>
          <w:sz w:val="20"/>
          <w:szCs w:val="20"/>
        </w:rPr>
        <w:tab/>
      </w:r>
      <w:r w:rsidRPr="0022331B">
        <w:rPr>
          <w:sz w:val="20"/>
          <w:szCs w:val="20"/>
        </w:rPr>
        <w:t xml:space="preserve">Of course, I have not interviewed every descendant and distant relative of </w:t>
      </w:r>
      <w:proofErr w:type="spellStart"/>
      <w:r w:rsidRPr="0022331B">
        <w:rPr>
          <w:sz w:val="20"/>
          <w:szCs w:val="20"/>
        </w:rPr>
        <w:t>Ziba</w:t>
      </w:r>
      <w:proofErr w:type="spellEnd"/>
      <w:r w:rsidRPr="0022331B">
        <w:rPr>
          <w:sz w:val="20"/>
          <w:szCs w:val="20"/>
        </w:rPr>
        <w:t xml:space="preserve"> Khanum.  So, I still hope that we do not yet know everything about her</w:t>
      </w:r>
      <w:r w:rsidR="00B167A8" w:rsidRPr="0022331B">
        <w:rPr>
          <w:sz w:val="20"/>
          <w:szCs w:val="20"/>
        </w:rPr>
        <w:t xml:space="preserve"> that is still available</w:t>
      </w:r>
      <w:r w:rsidRPr="0022331B">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09B5" w14:textId="77777777" w:rsidR="0029228F" w:rsidRDefault="002922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9B36" w14:textId="77777777" w:rsidR="0029228F" w:rsidRDefault="0029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8FFE" w14:textId="77777777" w:rsidR="0029228F" w:rsidRDefault="002922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F2B7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A2C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EA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6492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0066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D093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BE39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4E57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CAFF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44F4EE"/>
    <w:lvl w:ilvl="0">
      <w:start w:val="1"/>
      <w:numFmt w:val="bullet"/>
      <w:lvlText w:val=""/>
      <w:lvlJc w:val="left"/>
      <w:pPr>
        <w:tabs>
          <w:tab w:val="num" w:pos="360"/>
        </w:tabs>
        <w:ind w:left="360" w:hanging="360"/>
      </w:pPr>
      <w:rPr>
        <w:rFonts w:ascii="Symbol" w:hAnsi="Symbol" w:hint="default"/>
      </w:rPr>
    </w:lvl>
  </w:abstractNum>
  <w:num w:numId="1" w16cid:durableId="369719852">
    <w:abstractNumId w:val="9"/>
  </w:num>
  <w:num w:numId="2" w16cid:durableId="740105332">
    <w:abstractNumId w:val="7"/>
  </w:num>
  <w:num w:numId="3" w16cid:durableId="1622540848">
    <w:abstractNumId w:val="6"/>
  </w:num>
  <w:num w:numId="4" w16cid:durableId="1110003916">
    <w:abstractNumId w:val="5"/>
  </w:num>
  <w:num w:numId="5" w16cid:durableId="1520393860">
    <w:abstractNumId w:val="4"/>
  </w:num>
  <w:num w:numId="6" w16cid:durableId="1467431151">
    <w:abstractNumId w:val="8"/>
  </w:num>
  <w:num w:numId="7" w16cid:durableId="705835526">
    <w:abstractNumId w:val="3"/>
  </w:num>
  <w:num w:numId="8" w16cid:durableId="461777259">
    <w:abstractNumId w:val="2"/>
  </w:num>
  <w:num w:numId="9" w16cid:durableId="1554734856">
    <w:abstractNumId w:val="1"/>
  </w:num>
  <w:num w:numId="10" w16cid:durableId="1241594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activeWritingStyle w:appName="MSWord" w:lang="en-GB" w:vendorID="64" w:dllVersion="6" w:nlCheck="1" w:checkStyle="0"/>
  <w:activeWritingStyle w:appName="MSWord" w:lang="es-ES_tradnl" w:vendorID="64" w:dllVersion="6" w:nlCheck="1" w:checkStyle="1"/>
  <w:activeWritingStyle w:appName="MSWord" w:lang="en-GB"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25"/>
  <w:drawingGridHorizontalSpacing w:val="100"/>
  <w:drawingGridVerticalSpacing w:val="136"/>
  <w:displayHorizontalDrawingGridEvery w:val="0"/>
  <w:displayVerticalDrawingGridEvery w:val="2"/>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5AC3"/>
    <w:rsid w:val="00000820"/>
    <w:rsid w:val="0000119A"/>
    <w:rsid w:val="0000186E"/>
    <w:rsid w:val="00001CF9"/>
    <w:rsid w:val="00002C19"/>
    <w:rsid w:val="00002DC3"/>
    <w:rsid w:val="0000349E"/>
    <w:rsid w:val="0000361A"/>
    <w:rsid w:val="000037F6"/>
    <w:rsid w:val="00003DCA"/>
    <w:rsid w:val="0000469B"/>
    <w:rsid w:val="000055F6"/>
    <w:rsid w:val="00006E0E"/>
    <w:rsid w:val="00010351"/>
    <w:rsid w:val="000103B9"/>
    <w:rsid w:val="00010451"/>
    <w:rsid w:val="0001061C"/>
    <w:rsid w:val="000106A1"/>
    <w:rsid w:val="0001081C"/>
    <w:rsid w:val="000111A8"/>
    <w:rsid w:val="0001175A"/>
    <w:rsid w:val="00011849"/>
    <w:rsid w:val="000122EA"/>
    <w:rsid w:val="000132B7"/>
    <w:rsid w:val="00013B47"/>
    <w:rsid w:val="00013DBB"/>
    <w:rsid w:val="000148CD"/>
    <w:rsid w:val="0001542A"/>
    <w:rsid w:val="00015E23"/>
    <w:rsid w:val="00015F04"/>
    <w:rsid w:val="00016D46"/>
    <w:rsid w:val="000205B9"/>
    <w:rsid w:val="00020A71"/>
    <w:rsid w:val="00020D29"/>
    <w:rsid w:val="00021682"/>
    <w:rsid w:val="0002341D"/>
    <w:rsid w:val="00024891"/>
    <w:rsid w:val="0002510D"/>
    <w:rsid w:val="000252DB"/>
    <w:rsid w:val="00025B13"/>
    <w:rsid w:val="00025D2B"/>
    <w:rsid w:val="000263AD"/>
    <w:rsid w:val="00026713"/>
    <w:rsid w:val="000267B7"/>
    <w:rsid w:val="00026AFE"/>
    <w:rsid w:val="0003045E"/>
    <w:rsid w:val="00030E64"/>
    <w:rsid w:val="00031016"/>
    <w:rsid w:val="00031A17"/>
    <w:rsid w:val="00031C4A"/>
    <w:rsid w:val="00031EA6"/>
    <w:rsid w:val="000322E2"/>
    <w:rsid w:val="000322F0"/>
    <w:rsid w:val="00033A1F"/>
    <w:rsid w:val="0003484C"/>
    <w:rsid w:val="000349F6"/>
    <w:rsid w:val="00035BED"/>
    <w:rsid w:val="000364E6"/>
    <w:rsid w:val="000367BF"/>
    <w:rsid w:val="00036A16"/>
    <w:rsid w:val="00036E0A"/>
    <w:rsid w:val="00037142"/>
    <w:rsid w:val="00037818"/>
    <w:rsid w:val="00037E4E"/>
    <w:rsid w:val="000407EF"/>
    <w:rsid w:val="00040F3D"/>
    <w:rsid w:val="00041292"/>
    <w:rsid w:val="00041560"/>
    <w:rsid w:val="0004204D"/>
    <w:rsid w:val="000422B5"/>
    <w:rsid w:val="000430A9"/>
    <w:rsid w:val="000430D6"/>
    <w:rsid w:val="00045275"/>
    <w:rsid w:val="0004654B"/>
    <w:rsid w:val="0004657C"/>
    <w:rsid w:val="000467CF"/>
    <w:rsid w:val="00046AB5"/>
    <w:rsid w:val="00046D14"/>
    <w:rsid w:val="000471C4"/>
    <w:rsid w:val="000507C7"/>
    <w:rsid w:val="00050E14"/>
    <w:rsid w:val="000513D8"/>
    <w:rsid w:val="00051917"/>
    <w:rsid w:val="00051F68"/>
    <w:rsid w:val="00054426"/>
    <w:rsid w:val="00054468"/>
    <w:rsid w:val="000544B9"/>
    <w:rsid w:val="00055C9D"/>
    <w:rsid w:val="000564B9"/>
    <w:rsid w:val="00056DA4"/>
    <w:rsid w:val="0005717F"/>
    <w:rsid w:val="00057425"/>
    <w:rsid w:val="00057595"/>
    <w:rsid w:val="000577D7"/>
    <w:rsid w:val="00057C0E"/>
    <w:rsid w:val="00060420"/>
    <w:rsid w:val="00060718"/>
    <w:rsid w:val="00060AC9"/>
    <w:rsid w:val="00060F8B"/>
    <w:rsid w:val="0006162B"/>
    <w:rsid w:val="0006303D"/>
    <w:rsid w:val="00063375"/>
    <w:rsid w:val="00064156"/>
    <w:rsid w:val="000642B1"/>
    <w:rsid w:val="0006487E"/>
    <w:rsid w:val="00064BD0"/>
    <w:rsid w:val="00065222"/>
    <w:rsid w:val="00065585"/>
    <w:rsid w:val="00066206"/>
    <w:rsid w:val="00066DCE"/>
    <w:rsid w:val="000671A9"/>
    <w:rsid w:val="00067CC4"/>
    <w:rsid w:val="00067DEB"/>
    <w:rsid w:val="0007021D"/>
    <w:rsid w:val="00070AC5"/>
    <w:rsid w:val="00070AF8"/>
    <w:rsid w:val="00070BD7"/>
    <w:rsid w:val="000718B1"/>
    <w:rsid w:val="00071D81"/>
    <w:rsid w:val="000726EC"/>
    <w:rsid w:val="00072B3E"/>
    <w:rsid w:val="00072E51"/>
    <w:rsid w:val="00073773"/>
    <w:rsid w:val="00074501"/>
    <w:rsid w:val="00074973"/>
    <w:rsid w:val="00074CF7"/>
    <w:rsid w:val="00075054"/>
    <w:rsid w:val="00075AC3"/>
    <w:rsid w:val="00077744"/>
    <w:rsid w:val="00077A4D"/>
    <w:rsid w:val="00077E3F"/>
    <w:rsid w:val="00080654"/>
    <w:rsid w:val="00080D48"/>
    <w:rsid w:val="00080EE4"/>
    <w:rsid w:val="00081B29"/>
    <w:rsid w:val="00082674"/>
    <w:rsid w:val="0008329D"/>
    <w:rsid w:val="0008493C"/>
    <w:rsid w:val="000852F3"/>
    <w:rsid w:val="00085847"/>
    <w:rsid w:val="00086059"/>
    <w:rsid w:val="00086C6E"/>
    <w:rsid w:val="00086EBA"/>
    <w:rsid w:val="00090DE8"/>
    <w:rsid w:val="00091371"/>
    <w:rsid w:val="00093182"/>
    <w:rsid w:val="00094955"/>
    <w:rsid w:val="00095DEA"/>
    <w:rsid w:val="0009605F"/>
    <w:rsid w:val="000962D9"/>
    <w:rsid w:val="00096430"/>
    <w:rsid w:val="00096A62"/>
    <w:rsid w:val="00097317"/>
    <w:rsid w:val="00097600"/>
    <w:rsid w:val="000978EC"/>
    <w:rsid w:val="000A092B"/>
    <w:rsid w:val="000A0F4E"/>
    <w:rsid w:val="000A199E"/>
    <w:rsid w:val="000A27BB"/>
    <w:rsid w:val="000A2F13"/>
    <w:rsid w:val="000A4032"/>
    <w:rsid w:val="000A40AD"/>
    <w:rsid w:val="000A431F"/>
    <w:rsid w:val="000A53E4"/>
    <w:rsid w:val="000A6A56"/>
    <w:rsid w:val="000A6B95"/>
    <w:rsid w:val="000A7538"/>
    <w:rsid w:val="000A7629"/>
    <w:rsid w:val="000A763E"/>
    <w:rsid w:val="000A7666"/>
    <w:rsid w:val="000A7BB5"/>
    <w:rsid w:val="000A7D86"/>
    <w:rsid w:val="000B04DF"/>
    <w:rsid w:val="000B1924"/>
    <w:rsid w:val="000B2871"/>
    <w:rsid w:val="000B2A10"/>
    <w:rsid w:val="000B2CEE"/>
    <w:rsid w:val="000B2F10"/>
    <w:rsid w:val="000B4483"/>
    <w:rsid w:val="000B5BA9"/>
    <w:rsid w:val="000B5C22"/>
    <w:rsid w:val="000C0883"/>
    <w:rsid w:val="000C0C85"/>
    <w:rsid w:val="000C2434"/>
    <w:rsid w:val="000C2814"/>
    <w:rsid w:val="000C2AEE"/>
    <w:rsid w:val="000C3683"/>
    <w:rsid w:val="000C3CF3"/>
    <w:rsid w:val="000C57EF"/>
    <w:rsid w:val="000C5987"/>
    <w:rsid w:val="000C5B64"/>
    <w:rsid w:val="000C6AC5"/>
    <w:rsid w:val="000C77AB"/>
    <w:rsid w:val="000D06E4"/>
    <w:rsid w:val="000D0CE2"/>
    <w:rsid w:val="000D0E03"/>
    <w:rsid w:val="000D1040"/>
    <w:rsid w:val="000D31B4"/>
    <w:rsid w:val="000D3564"/>
    <w:rsid w:val="000D38CF"/>
    <w:rsid w:val="000D3E0B"/>
    <w:rsid w:val="000D44FB"/>
    <w:rsid w:val="000D495F"/>
    <w:rsid w:val="000D60F2"/>
    <w:rsid w:val="000D6FFB"/>
    <w:rsid w:val="000D7908"/>
    <w:rsid w:val="000E02D0"/>
    <w:rsid w:val="000E0426"/>
    <w:rsid w:val="000E0C58"/>
    <w:rsid w:val="000E2E5B"/>
    <w:rsid w:val="000E37A4"/>
    <w:rsid w:val="000E47FC"/>
    <w:rsid w:val="000E546A"/>
    <w:rsid w:val="000E5760"/>
    <w:rsid w:val="000E5966"/>
    <w:rsid w:val="000E5B0C"/>
    <w:rsid w:val="000E5EC3"/>
    <w:rsid w:val="000E687F"/>
    <w:rsid w:val="000E78C4"/>
    <w:rsid w:val="000F1030"/>
    <w:rsid w:val="000F14F1"/>
    <w:rsid w:val="000F2812"/>
    <w:rsid w:val="000F2C95"/>
    <w:rsid w:val="000F3FF1"/>
    <w:rsid w:val="000F60C3"/>
    <w:rsid w:val="000F752D"/>
    <w:rsid w:val="000F7AFA"/>
    <w:rsid w:val="000F7C79"/>
    <w:rsid w:val="001004B2"/>
    <w:rsid w:val="00100DA6"/>
    <w:rsid w:val="00101347"/>
    <w:rsid w:val="00101B31"/>
    <w:rsid w:val="00102319"/>
    <w:rsid w:val="00103021"/>
    <w:rsid w:val="001036CF"/>
    <w:rsid w:val="00103F69"/>
    <w:rsid w:val="00105689"/>
    <w:rsid w:val="0010568F"/>
    <w:rsid w:val="001069EB"/>
    <w:rsid w:val="001078A7"/>
    <w:rsid w:val="001079A5"/>
    <w:rsid w:val="001106E6"/>
    <w:rsid w:val="00110B60"/>
    <w:rsid w:val="001118BE"/>
    <w:rsid w:val="00111C7C"/>
    <w:rsid w:val="00113009"/>
    <w:rsid w:val="001134D5"/>
    <w:rsid w:val="00113A09"/>
    <w:rsid w:val="00115647"/>
    <w:rsid w:val="0011568A"/>
    <w:rsid w:val="001160D5"/>
    <w:rsid w:val="0011714E"/>
    <w:rsid w:val="001175A9"/>
    <w:rsid w:val="00117772"/>
    <w:rsid w:val="00117FC4"/>
    <w:rsid w:val="0012016F"/>
    <w:rsid w:val="001210A3"/>
    <w:rsid w:val="0012190D"/>
    <w:rsid w:val="00122261"/>
    <w:rsid w:val="00122B2E"/>
    <w:rsid w:val="0012336A"/>
    <w:rsid w:val="001238D8"/>
    <w:rsid w:val="0012680A"/>
    <w:rsid w:val="001275A6"/>
    <w:rsid w:val="001309CE"/>
    <w:rsid w:val="00130D5B"/>
    <w:rsid w:val="00130DCE"/>
    <w:rsid w:val="0013106A"/>
    <w:rsid w:val="00131715"/>
    <w:rsid w:val="00131964"/>
    <w:rsid w:val="0013331D"/>
    <w:rsid w:val="001364AF"/>
    <w:rsid w:val="0013716C"/>
    <w:rsid w:val="0013728A"/>
    <w:rsid w:val="001372E7"/>
    <w:rsid w:val="00137306"/>
    <w:rsid w:val="00137905"/>
    <w:rsid w:val="00137940"/>
    <w:rsid w:val="001404F2"/>
    <w:rsid w:val="001411E5"/>
    <w:rsid w:val="00141C99"/>
    <w:rsid w:val="00142D43"/>
    <w:rsid w:val="00143C64"/>
    <w:rsid w:val="00143CCC"/>
    <w:rsid w:val="001443FB"/>
    <w:rsid w:val="00144FAF"/>
    <w:rsid w:val="0014535B"/>
    <w:rsid w:val="0014688E"/>
    <w:rsid w:val="0014743D"/>
    <w:rsid w:val="00147D19"/>
    <w:rsid w:val="00150A57"/>
    <w:rsid w:val="00150F43"/>
    <w:rsid w:val="001511F3"/>
    <w:rsid w:val="00151B00"/>
    <w:rsid w:val="00151DEF"/>
    <w:rsid w:val="00151F3F"/>
    <w:rsid w:val="001523E7"/>
    <w:rsid w:val="00152F81"/>
    <w:rsid w:val="001536F6"/>
    <w:rsid w:val="00153968"/>
    <w:rsid w:val="00154489"/>
    <w:rsid w:val="001549D9"/>
    <w:rsid w:val="001553E5"/>
    <w:rsid w:val="00156EF0"/>
    <w:rsid w:val="001578E7"/>
    <w:rsid w:val="0016048D"/>
    <w:rsid w:val="001604E5"/>
    <w:rsid w:val="00161966"/>
    <w:rsid w:val="00162084"/>
    <w:rsid w:val="00162249"/>
    <w:rsid w:val="00163070"/>
    <w:rsid w:val="00163338"/>
    <w:rsid w:val="00163D7C"/>
    <w:rsid w:val="00164399"/>
    <w:rsid w:val="00164E74"/>
    <w:rsid w:val="00164F75"/>
    <w:rsid w:val="0016668C"/>
    <w:rsid w:val="00167BC4"/>
    <w:rsid w:val="00167E48"/>
    <w:rsid w:val="00170386"/>
    <w:rsid w:val="00171D00"/>
    <w:rsid w:val="00172582"/>
    <w:rsid w:val="001733E6"/>
    <w:rsid w:val="001734C9"/>
    <w:rsid w:val="001744EE"/>
    <w:rsid w:val="001748CE"/>
    <w:rsid w:val="00174BDD"/>
    <w:rsid w:val="00174C53"/>
    <w:rsid w:val="00175534"/>
    <w:rsid w:val="00175571"/>
    <w:rsid w:val="00175E23"/>
    <w:rsid w:val="001775B1"/>
    <w:rsid w:val="00177704"/>
    <w:rsid w:val="00177B2F"/>
    <w:rsid w:val="0018110E"/>
    <w:rsid w:val="001816DE"/>
    <w:rsid w:val="00181753"/>
    <w:rsid w:val="001831FD"/>
    <w:rsid w:val="00183B9E"/>
    <w:rsid w:val="001856C8"/>
    <w:rsid w:val="00186026"/>
    <w:rsid w:val="00186282"/>
    <w:rsid w:val="0018665C"/>
    <w:rsid w:val="00186CA3"/>
    <w:rsid w:val="00187434"/>
    <w:rsid w:val="00190866"/>
    <w:rsid w:val="00190C2C"/>
    <w:rsid w:val="00191B9E"/>
    <w:rsid w:val="0019245D"/>
    <w:rsid w:val="00192826"/>
    <w:rsid w:val="001932DE"/>
    <w:rsid w:val="0019333E"/>
    <w:rsid w:val="00193541"/>
    <w:rsid w:val="00193788"/>
    <w:rsid w:val="00193D76"/>
    <w:rsid w:val="00194295"/>
    <w:rsid w:val="001943F8"/>
    <w:rsid w:val="0019485F"/>
    <w:rsid w:val="0019526D"/>
    <w:rsid w:val="0019533A"/>
    <w:rsid w:val="00195759"/>
    <w:rsid w:val="0019724F"/>
    <w:rsid w:val="0019731B"/>
    <w:rsid w:val="001A0B6C"/>
    <w:rsid w:val="001A0FB1"/>
    <w:rsid w:val="001A1110"/>
    <w:rsid w:val="001A1124"/>
    <w:rsid w:val="001A1DFF"/>
    <w:rsid w:val="001A2A34"/>
    <w:rsid w:val="001A3D15"/>
    <w:rsid w:val="001A6B4A"/>
    <w:rsid w:val="001B12D5"/>
    <w:rsid w:val="001B38D0"/>
    <w:rsid w:val="001B3F60"/>
    <w:rsid w:val="001B4747"/>
    <w:rsid w:val="001B5FA3"/>
    <w:rsid w:val="001B69E8"/>
    <w:rsid w:val="001B7804"/>
    <w:rsid w:val="001C013B"/>
    <w:rsid w:val="001C0587"/>
    <w:rsid w:val="001C074A"/>
    <w:rsid w:val="001C0F13"/>
    <w:rsid w:val="001C11C4"/>
    <w:rsid w:val="001C1452"/>
    <w:rsid w:val="001C2CAE"/>
    <w:rsid w:val="001C3AE6"/>
    <w:rsid w:val="001C3F44"/>
    <w:rsid w:val="001C3FFB"/>
    <w:rsid w:val="001C4404"/>
    <w:rsid w:val="001C4EEF"/>
    <w:rsid w:val="001C4F32"/>
    <w:rsid w:val="001C6340"/>
    <w:rsid w:val="001C7343"/>
    <w:rsid w:val="001C75E0"/>
    <w:rsid w:val="001C7997"/>
    <w:rsid w:val="001D0AB7"/>
    <w:rsid w:val="001D0B42"/>
    <w:rsid w:val="001D2915"/>
    <w:rsid w:val="001D2A7D"/>
    <w:rsid w:val="001D34C0"/>
    <w:rsid w:val="001D37B7"/>
    <w:rsid w:val="001D3E7B"/>
    <w:rsid w:val="001D5D21"/>
    <w:rsid w:val="001D6133"/>
    <w:rsid w:val="001D634A"/>
    <w:rsid w:val="001D660E"/>
    <w:rsid w:val="001D6A89"/>
    <w:rsid w:val="001D701A"/>
    <w:rsid w:val="001D701D"/>
    <w:rsid w:val="001D78AA"/>
    <w:rsid w:val="001E0428"/>
    <w:rsid w:val="001E043E"/>
    <w:rsid w:val="001E15DA"/>
    <w:rsid w:val="001E2293"/>
    <w:rsid w:val="001E2DD7"/>
    <w:rsid w:val="001E3454"/>
    <w:rsid w:val="001E3A0C"/>
    <w:rsid w:val="001E3C53"/>
    <w:rsid w:val="001E4130"/>
    <w:rsid w:val="001E5032"/>
    <w:rsid w:val="001E5BC2"/>
    <w:rsid w:val="001E6898"/>
    <w:rsid w:val="001E68E4"/>
    <w:rsid w:val="001E6C09"/>
    <w:rsid w:val="001E6C21"/>
    <w:rsid w:val="001E7832"/>
    <w:rsid w:val="001E7BAC"/>
    <w:rsid w:val="001F04A8"/>
    <w:rsid w:val="001F0A83"/>
    <w:rsid w:val="001F0A94"/>
    <w:rsid w:val="001F0FB7"/>
    <w:rsid w:val="001F1C2C"/>
    <w:rsid w:val="001F2815"/>
    <w:rsid w:val="001F2F51"/>
    <w:rsid w:val="001F3DC3"/>
    <w:rsid w:val="001F40DA"/>
    <w:rsid w:val="001F45C4"/>
    <w:rsid w:val="001F45E9"/>
    <w:rsid w:val="001F4912"/>
    <w:rsid w:val="001F4F98"/>
    <w:rsid w:val="001F541A"/>
    <w:rsid w:val="001F5B40"/>
    <w:rsid w:val="001F5BC9"/>
    <w:rsid w:val="001F61EE"/>
    <w:rsid w:val="001F6232"/>
    <w:rsid w:val="001F637A"/>
    <w:rsid w:val="002000A4"/>
    <w:rsid w:val="00200C04"/>
    <w:rsid w:val="00200E12"/>
    <w:rsid w:val="00201305"/>
    <w:rsid w:val="00201897"/>
    <w:rsid w:val="00201D1D"/>
    <w:rsid w:val="00201DE0"/>
    <w:rsid w:val="00202121"/>
    <w:rsid w:val="00202392"/>
    <w:rsid w:val="00203BCB"/>
    <w:rsid w:val="002043C7"/>
    <w:rsid w:val="002046A5"/>
    <w:rsid w:val="00205274"/>
    <w:rsid w:val="00205766"/>
    <w:rsid w:val="00205A2C"/>
    <w:rsid w:val="00205D89"/>
    <w:rsid w:val="00205FD9"/>
    <w:rsid w:val="00207A21"/>
    <w:rsid w:val="00207E00"/>
    <w:rsid w:val="00207FE0"/>
    <w:rsid w:val="0021036A"/>
    <w:rsid w:val="0021040A"/>
    <w:rsid w:val="002104A0"/>
    <w:rsid w:val="0021139C"/>
    <w:rsid w:val="002118A7"/>
    <w:rsid w:val="00211BD8"/>
    <w:rsid w:val="00211BFA"/>
    <w:rsid w:val="00211E6F"/>
    <w:rsid w:val="00212323"/>
    <w:rsid w:val="00212DB4"/>
    <w:rsid w:val="00213F64"/>
    <w:rsid w:val="002157EB"/>
    <w:rsid w:val="002158DC"/>
    <w:rsid w:val="00216A4C"/>
    <w:rsid w:val="002171E4"/>
    <w:rsid w:val="00220220"/>
    <w:rsid w:val="0022057D"/>
    <w:rsid w:val="00220945"/>
    <w:rsid w:val="00222097"/>
    <w:rsid w:val="00222E2F"/>
    <w:rsid w:val="0022331B"/>
    <w:rsid w:val="00223543"/>
    <w:rsid w:val="00223BB0"/>
    <w:rsid w:val="00223FBD"/>
    <w:rsid w:val="00224244"/>
    <w:rsid w:val="002246D8"/>
    <w:rsid w:val="00224837"/>
    <w:rsid w:val="00224ACB"/>
    <w:rsid w:val="00224D87"/>
    <w:rsid w:val="002254B2"/>
    <w:rsid w:val="00225E1A"/>
    <w:rsid w:val="00226809"/>
    <w:rsid w:val="00227D30"/>
    <w:rsid w:val="0023060C"/>
    <w:rsid w:val="002309B6"/>
    <w:rsid w:val="00230B7A"/>
    <w:rsid w:val="00230C18"/>
    <w:rsid w:val="00230C23"/>
    <w:rsid w:val="0023104A"/>
    <w:rsid w:val="00232869"/>
    <w:rsid w:val="00232F55"/>
    <w:rsid w:val="002335E4"/>
    <w:rsid w:val="00233C04"/>
    <w:rsid w:val="00233FBC"/>
    <w:rsid w:val="00234853"/>
    <w:rsid w:val="00234C5A"/>
    <w:rsid w:val="00234CFD"/>
    <w:rsid w:val="00234FD3"/>
    <w:rsid w:val="002350CE"/>
    <w:rsid w:val="0023524C"/>
    <w:rsid w:val="00236224"/>
    <w:rsid w:val="00236917"/>
    <w:rsid w:val="00236D9E"/>
    <w:rsid w:val="00237B8A"/>
    <w:rsid w:val="0024000F"/>
    <w:rsid w:val="00241A4E"/>
    <w:rsid w:val="00241AB4"/>
    <w:rsid w:val="00241AE4"/>
    <w:rsid w:val="002420CA"/>
    <w:rsid w:val="00242C66"/>
    <w:rsid w:val="00243269"/>
    <w:rsid w:val="00243A0E"/>
    <w:rsid w:val="00243F25"/>
    <w:rsid w:val="00245433"/>
    <w:rsid w:val="00245EDA"/>
    <w:rsid w:val="0024654F"/>
    <w:rsid w:val="002467ED"/>
    <w:rsid w:val="00246FD9"/>
    <w:rsid w:val="00247F82"/>
    <w:rsid w:val="00252435"/>
    <w:rsid w:val="0025369F"/>
    <w:rsid w:val="0025413E"/>
    <w:rsid w:val="002541EF"/>
    <w:rsid w:val="0025463F"/>
    <w:rsid w:val="0025483B"/>
    <w:rsid w:val="0025653D"/>
    <w:rsid w:val="0025665D"/>
    <w:rsid w:val="002568AD"/>
    <w:rsid w:val="00256C80"/>
    <w:rsid w:val="0026164B"/>
    <w:rsid w:val="00261C48"/>
    <w:rsid w:val="00261E1A"/>
    <w:rsid w:val="00261EBA"/>
    <w:rsid w:val="00262AB8"/>
    <w:rsid w:val="002632E3"/>
    <w:rsid w:val="00264824"/>
    <w:rsid w:val="00264B27"/>
    <w:rsid w:val="00265059"/>
    <w:rsid w:val="00265727"/>
    <w:rsid w:val="00265C64"/>
    <w:rsid w:val="002663B7"/>
    <w:rsid w:val="002668B6"/>
    <w:rsid w:val="00267BFC"/>
    <w:rsid w:val="00267C6D"/>
    <w:rsid w:val="0027035D"/>
    <w:rsid w:val="00271AB1"/>
    <w:rsid w:val="0027268E"/>
    <w:rsid w:val="002736CE"/>
    <w:rsid w:val="00274282"/>
    <w:rsid w:val="00274420"/>
    <w:rsid w:val="0027443D"/>
    <w:rsid w:val="002746A6"/>
    <w:rsid w:val="00274EED"/>
    <w:rsid w:val="00274F79"/>
    <w:rsid w:val="00275136"/>
    <w:rsid w:val="0027585C"/>
    <w:rsid w:val="00275918"/>
    <w:rsid w:val="00275D80"/>
    <w:rsid w:val="00275FFD"/>
    <w:rsid w:val="00276081"/>
    <w:rsid w:val="0027621E"/>
    <w:rsid w:val="0027671F"/>
    <w:rsid w:val="0027729B"/>
    <w:rsid w:val="0027754D"/>
    <w:rsid w:val="00277BE5"/>
    <w:rsid w:val="0028189D"/>
    <w:rsid w:val="002831B9"/>
    <w:rsid w:val="00284277"/>
    <w:rsid w:val="002842B1"/>
    <w:rsid w:val="00284574"/>
    <w:rsid w:val="00285BD1"/>
    <w:rsid w:val="002860AC"/>
    <w:rsid w:val="0028655D"/>
    <w:rsid w:val="00286C70"/>
    <w:rsid w:val="00286E8C"/>
    <w:rsid w:val="00287505"/>
    <w:rsid w:val="00287AE1"/>
    <w:rsid w:val="00287D3B"/>
    <w:rsid w:val="00290410"/>
    <w:rsid w:val="00291C46"/>
    <w:rsid w:val="00291FFE"/>
    <w:rsid w:val="0029228F"/>
    <w:rsid w:val="0029236E"/>
    <w:rsid w:val="002924B3"/>
    <w:rsid w:val="00292867"/>
    <w:rsid w:val="00295270"/>
    <w:rsid w:val="0029571D"/>
    <w:rsid w:val="002958EB"/>
    <w:rsid w:val="0029638E"/>
    <w:rsid w:val="002964B1"/>
    <w:rsid w:val="002967A4"/>
    <w:rsid w:val="00297676"/>
    <w:rsid w:val="002978DA"/>
    <w:rsid w:val="00297BF2"/>
    <w:rsid w:val="00297E5D"/>
    <w:rsid w:val="002A1098"/>
    <w:rsid w:val="002A194A"/>
    <w:rsid w:val="002A1D4C"/>
    <w:rsid w:val="002A274F"/>
    <w:rsid w:val="002A2D63"/>
    <w:rsid w:val="002A2F83"/>
    <w:rsid w:val="002A41DC"/>
    <w:rsid w:val="002A4A1B"/>
    <w:rsid w:val="002A5CB6"/>
    <w:rsid w:val="002A5D59"/>
    <w:rsid w:val="002A5D64"/>
    <w:rsid w:val="002A60A4"/>
    <w:rsid w:val="002A75D8"/>
    <w:rsid w:val="002A7FFD"/>
    <w:rsid w:val="002B0149"/>
    <w:rsid w:val="002B0724"/>
    <w:rsid w:val="002B0BA6"/>
    <w:rsid w:val="002B0F67"/>
    <w:rsid w:val="002B1E42"/>
    <w:rsid w:val="002B1FBD"/>
    <w:rsid w:val="002B23F3"/>
    <w:rsid w:val="002B2AAB"/>
    <w:rsid w:val="002B45AB"/>
    <w:rsid w:val="002B524D"/>
    <w:rsid w:val="002B6DD1"/>
    <w:rsid w:val="002B721D"/>
    <w:rsid w:val="002B7289"/>
    <w:rsid w:val="002B74AD"/>
    <w:rsid w:val="002B7B7B"/>
    <w:rsid w:val="002C00E4"/>
    <w:rsid w:val="002C011D"/>
    <w:rsid w:val="002C0615"/>
    <w:rsid w:val="002C09FC"/>
    <w:rsid w:val="002C0AAB"/>
    <w:rsid w:val="002C0ED2"/>
    <w:rsid w:val="002C1C3C"/>
    <w:rsid w:val="002C2ED1"/>
    <w:rsid w:val="002C3850"/>
    <w:rsid w:val="002C3C52"/>
    <w:rsid w:val="002C4A91"/>
    <w:rsid w:val="002C50F7"/>
    <w:rsid w:val="002C5A3F"/>
    <w:rsid w:val="002C78C3"/>
    <w:rsid w:val="002C7E95"/>
    <w:rsid w:val="002D06FC"/>
    <w:rsid w:val="002D2714"/>
    <w:rsid w:val="002D2C5A"/>
    <w:rsid w:val="002D2E8C"/>
    <w:rsid w:val="002D3EEE"/>
    <w:rsid w:val="002D4594"/>
    <w:rsid w:val="002D4C0D"/>
    <w:rsid w:val="002D54C9"/>
    <w:rsid w:val="002D5516"/>
    <w:rsid w:val="002D5B0B"/>
    <w:rsid w:val="002D5E19"/>
    <w:rsid w:val="002D7D91"/>
    <w:rsid w:val="002E06A7"/>
    <w:rsid w:val="002E090F"/>
    <w:rsid w:val="002E0935"/>
    <w:rsid w:val="002E0B46"/>
    <w:rsid w:val="002E24CB"/>
    <w:rsid w:val="002E2B4B"/>
    <w:rsid w:val="002E2C78"/>
    <w:rsid w:val="002E2DD2"/>
    <w:rsid w:val="002E3256"/>
    <w:rsid w:val="002E3692"/>
    <w:rsid w:val="002E38BC"/>
    <w:rsid w:val="002E3B7B"/>
    <w:rsid w:val="002E43F5"/>
    <w:rsid w:val="002E4590"/>
    <w:rsid w:val="002E52CD"/>
    <w:rsid w:val="002E723E"/>
    <w:rsid w:val="002E72ED"/>
    <w:rsid w:val="002E73DF"/>
    <w:rsid w:val="002E7943"/>
    <w:rsid w:val="002E7BAA"/>
    <w:rsid w:val="002F1234"/>
    <w:rsid w:val="002F15D4"/>
    <w:rsid w:val="002F1EB9"/>
    <w:rsid w:val="002F2254"/>
    <w:rsid w:val="002F2748"/>
    <w:rsid w:val="002F286B"/>
    <w:rsid w:val="002F2910"/>
    <w:rsid w:val="002F2927"/>
    <w:rsid w:val="002F3844"/>
    <w:rsid w:val="002F3E6D"/>
    <w:rsid w:val="002F4044"/>
    <w:rsid w:val="002F47CA"/>
    <w:rsid w:val="002F47DF"/>
    <w:rsid w:val="002F4B3C"/>
    <w:rsid w:val="002F5967"/>
    <w:rsid w:val="002F5D3E"/>
    <w:rsid w:val="002F646B"/>
    <w:rsid w:val="002F68D2"/>
    <w:rsid w:val="002F7152"/>
    <w:rsid w:val="002F7A5C"/>
    <w:rsid w:val="002F7A71"/>
    <w:rsid w:val="002F7B03"/>
    <w:rsid w:val="003001EA"/>
    <w:rsid w:val="0030070C"/>
    <w:rsid w:val="00300931"/>
    <w:rsid w:val="00300A2A"/>
    <w:rsid w:val="00301351"/>
    <w:rsid w:val="00303204"/>
    <w:rsid w:val="003040B7"/>
    <w:rsid w:val="0030423F"/>
    <w:rsid w:val="003053EF"/>
    <w:rsid w:val="00305654"/>
    <w:rsid w:val="00307701"/>
    <w:rsid w:val="00310059"/>
    <w:rsid w:val="00310AB7"/>
    <w:rsid w:val="00312065"/>
    <w:rsid w:val="00313445"/>
    <w:rsid w:val="003139E1"/>
    <w:rsid w:val="003143A3"/>
    <w:rsid w:val="00315239"/>
    <w:rsid w:val="00315C94"/>
    <w:rsid w:val="00316563"/>
    <w:rsid w:val="00316EDF"/>
    <w:rsid w:val="00317184"/>
    <w:rsid w:val="00317E47"/>
    <w:rsid w:val="003202CF"/>
    <w:rsid w:val="00320417"/>
    <w:rsid w:val="0032075D"/>
    <w:rsid w:val="003209EC"/>
    <w:rsid w:val="00321123"/>
    <w:rsid w:val="00322350"/>
    <w:rsid w:val="00323CAC"/>
    <w:rsid w:val="00323FC4"/>
    <w:rsid w:val="00324466"/>
    <w:rsid w:val="0032549A"/>
    <w:rsid w:val="00326400"/>
    <w:rsid w:val="00326F4D"/>
    <w:rsid w:val="00330C05"/>
    <w:rsid w:val="00330DC6"/>
    <w:rsid w:val="00331954"/>
    <w:rsid w:val="00331CF9"/>
    <w:rsid w:val="003354D5"/>
    <w:rsid w:val="0033553B"/>
    <w:rsid w:val="003357BA"/>
    <w:rsid w:val="00335837"/>
    <w:rsid w:val="003361CE"/>
    <w:rsid w:val="00336CFD"/>
    <w:rsid w:val="00337CC1"/>
    <w:rsid w:val="0034086B"/>
    <w:rsid w:val="003421D9"/>
    <w:rsid w:val="003432B1"/>
    <w:rsid w:val="003436DB"/>
    <w:rsid w:val="00343BCD"/>
    <w:rsid w:val="00344ACD"/>
    <w:rsid w:val="00344F62"/>
    <w:rsid w:val="00344FA3"/>
    <w:rsid w:val="00345116"/>
    <w:rsid w:val="003451C0"/>
    <w:rsid w:val="00345AA1"/>
    <w:rsid w:val="00346899"/>
    <w:rsid w:val="00347117"/>
    <w:rsid w:val="0034758D"/>
    <w:rsid w:val="0035062E"/>
    <w:rsid w:val="00350991"/>
    <w:rsid w:val="00350ADC"/>
    <w:rsid w:val="00350BF7"/>
    <w:rsid w:val="00350DC3"/>
    <w:rsid w:val="003513CC"/>
    <w:rsid w:val="00351615"/>
    <w:rsid w:val="003529FD"/>
    <w:rsid w:val="00353F03"/>
    <w:rsid w:val="00354BDE"/>
    <w:rsid w:val="00354F22"/>
    <w:rsid w:val="00355C4E"/>
    <w:rsid w:val="00355F03"/>
    <w:rsid w:val="00355F44"/>
    <w:rsid w:val="003564E7"/>
    <w:rsid w:val="00356FE6"/>
    <w:rsid w:val="0035741C"/>
    <w:rsid w:val="0035794B"/>
    <w:rsid w:val="00360E1A"/>
    <w:rsid w:val="00361CC1"/>
    <w:rsid w:val="00361E09"/>
    <w:rsid w:val="00362110"/>
    <w:rsid w:val="003626DA"/>
    <w:rsid w:val="00362895"/>
    <w:rsid w:val="00362A99"/>
    <w:rsid w:val="00363907"/>
    <w:rsid w:val="00364F84"/>
    <w:rsid w:val="00366CC0"/>
    <w:rsid w:val="0036718C"/>
    <w:rsid w:val="003674BD"/>
    <w:rsid w:val="0037052D"/>
    <w:rsid w:val="003719B5"/>
    <w:rsid w:val="00371DB1"/>
    <w:rsid w:val="00371DF9"/>
    <w:rsid w:val="003727CD"/>
    <w:rsid w:val="003730D5"/>
    <w:rsid w:val="00373ABA"/>
    <w:rsid w:val="003742D9"/>
    <w:rsid w:val="003747EE"/>
    <w:rsid w:val="00374E82"/>
    <w:rsid w:val="00375611"/>
    <w:rsid w:val="003759E1"/>
    <w:rsid w:val="00376DE7"/>
    <w:rsid w:val="00377BA6"/>
    <w:rsid w:val="00377CE7"/>
    <w:rsid w:val="00377D03"/>
    <w:rsid w:val="00377F9D"/>
    <w:rsid w:val="00380B49"/>
    <w:rsid w:val="00381517"/>
    <w:rsid w:val="0038175B"/>
    <w:rsid w:val="00381AB3"/>
    <w:rsid w:val="00381C17"/>
    <w:rsid w:val="00381F89"/>
    <w:rsid w:val="0038334F"/>
    <w:rsid w:val="00384277"/>
    <w:rsid w:val="00384DEA"/>
    <w:rsid w:val="00385281"/>
    <w:rsid w:val="003857A3"/>
    <w:rsid w:val="00385DFE"/>
    <w:rsid w:val="00386019"/>
    <w:rsid w:val="0038624B"/>
    <w:rsid w:val="0038708B"/>
    <w:rsid w:val="003871F5"/>
    <w:rsid w:val="003872BC"/>
    <w:rsid w:val="00387917"/>
    <w:rsid w:val="00387A6A"/>
    <w:rsid w:val="003909AD"/>
    <w:rsid w:val="00390BA3"/>
    <w:rsid w:val="00390C51"/>
    <w:rsid w:val="003916EE"/>
    <w:rsid w:val="00391837"/>
    <w:rsid w:val="00391CC1"/>
    <w:rsid w:val="00393197"/>
    <w:rsid w:val="0039329F"/>
    <w:rsid w:val="003943D2"/>
    <w:rsid w:val="003947CE"/>
    <w:rsid w:val="003949C0"/>
    <w:rsid w:val="00394D01"/>
    <w:rsid w:val="0039502E"/>
    <w:rsid w:val="00396E11"/>
    <w:rsid w:val="00397460"/>
    <w:rsid w:val="003974A0"/>
    <w:rsid w:val="003975BA"/>
    <w:rsid w:val="0039790A"/>
    <w:rsid w:val="003A1008"/>
    <w:rsid w:val="003A2513"/>
    <w:rsid w:val="003A3CAF"/>
    <w:rsid w:val="003A5D71"/>
    <w:rsid w:val="003A6B05"/>
    <w:rsid w:val="003A6C64"/>
    <w:rsid w:val="003A6C95"/>
    <w:rsid w:val="003A7149"/>
    <w:rsid w:val="003A7456"/>
    <w:rsid w:val="003A77F8"/>
    <w:rsid w:val="003B02F9"/>
    <w:rsid w:val="003B0D13"/>
    <w:rsid w:val="003B0DD3"/>
    <w:rsid w:val="003B148C"/>
    <w:rsid w:val="003B20B3"/>
    <w:rsid w:val="003B256E"/>
    <w:rsid w:val="003B3B3B"/>
    <w:rsid w:val="003B3F4B"/>
    <w:rsid w:val="003B40DC"/>
    <w:rsid w:val="003B4A4A"/>
    <w:rsid w:val="003B4E88"/>
    <w:rsid w:val="003B5215"/>
    <w:rsid w:val="003B67AE"/>
    <w:rsid w:val="003B6EF4"/>
    <w:rsid w:val="003B7FF4"/>
    <w:rsid w:val="003C06A5"/>
    <w:rsid w:val="003C07EE"/>
    <w:rsid w:val="003C0B99"/>
    <w:rsid w:val="003C0B9E"/>
    <w:rsid w:val="003C1489"/>
    <w:rsid w:val="003C170F"/>
    <w:rsid w:val="003C2D9A"/>
    <w:rsid w:val="003C3881"/>
    <w:rsid w:val="003C43BA"/>
    <w:rsid w:val="003C52C2"/>
    <w:rsid w:val="003C54EE"/>
    <w:rsid w:val="003C5F05"/>
    <w:rsid w:val="003C69B2"/>
    <w:rsid w:val="003C7960"/>
    <w:rsid w:val="003D091C"/>
    <w:rsid w:val="003D0A95"/>
    <w:rsid w:val="003D1536"/>
    <w:rsid w:val="003D1933"/>
    <w:rsid w:val="003D2341"/>
    <w:rsid w:val="003D2FF5"/>
    <w:rsid w:val="003D3472"/>
    <w:rsid w:val="003D3ADE"/>
    <w:rsid w:val="003D3BCD"/>
    <w:rsid w:val="003D3DAB"/>
    <w:rsid w:val="003D3EB5"/>
    <w:rsid w:val="003D3EC7"/>
    <w:rsid w:val="003D4626"/>
    <w:rsid w:val="003D46B3"/>
    <w:rsid w:val="003D4ED4"/>
    <w:rsid w:val="003D52EE"/>
    <w:rsid w:val="003D54A1"/>
    <w:rsid w:val="003D559F"/>
    <w:rsid w:val="003D590F"/>
    <w:rsid w:val="003D5EE9"/>
    <w:rsid w:val="003D637A"/>
    <w:rsid w:val="003D69EA"/>
    <w:rsid w:val="003D6EC9"/>
    <w:rsid w:val="003D703E"/>
    <w:rsid w:val="003E1AC1"/>
    <w:rsid w:val="003E27AC"/>
    <w:rsid w:val="003E28A9"/>
    <w:rsid w:val="003E2A41"/>
    <w:rsid w:val="003E429E"/>
    <w:rsid w:val="003E4404"/>
    <w:rsid w:val="003E4965"/>
    <w:rsid w:val="003E7789"/>
    <w:rsid w:val="003E78D0"/>
    <w:rsid w:val="003F019B"/>
    <w:rsid w:val="003F040D"/>
    <w:rsid w:val="003F0EB8"/>
    <w:rsid w:val="003F0FDF"/>
    <w:rsid w:val="003F196E"/>
    <w:rsid w:val="003F1B21"/>
    <w:rsid w:val="003F1FB4"/>
    <w:rsid w:val="003F2578"/>
    <w:rsid w:val="003F2F84"/>
    <w:rsid w:val="003F3223"/>
    <w:rsid w:val="003F34D6"/>
    <w:rsid w:val="003F3751"/>
    <w:rsid w:val="003F3A63"/>
    <w:rsid w:val="003F3AA6"/>
    <w:rsid w:val="003F455E"/>
    <w:rsid w:val="003F5BA2"/>
    <w:rsid w:val="003F5C64"/>
    <w:rsid w:val="003F5C7D"/>
    <w:rsid w:val="003F5C87"/>
    <w:rsid w:val="003F6316"/>
    <w:rsid w:val="003F6381"/>
    <w:rsid w:val="003F6D89"/>
    <w:rsid w:val="003F76ED"/>
    <w:rsid w:val="00400186"/>
    <w:rsid w:val="004002D5"/>
    <w:rsid w:val="004008BE"/>
    <w:rsid w:val="0040134B"/>
    <w:rsid w:val="00401D53"/>
    <w:rsid w:val="00401FA7"/>
    <w:rsid w:val="004033FC"/>
    <w:rsid w:val="004049C0"/>
    <w:rsid w:val="00404D62"/>
    <w:rsid w:val="0040514B"/>
    <w:rsid w:val="00405770"/>
    <w:rsid w:val="00405A1D"/>
    <w:rsid w:val="00405D4E"/>
    <w:rsid w:val="0040722E"/>
    <w:rsid w:val="004105CA"/>
    <w:rsid w:val="0041181D"/>
    <w:rsid w:val="00412CE0"/>
    <w:rsid w:val="00413D9E"/>
    <w:rsid w:val="00414E59"/>
    <w:rsid w:val="004152FF"/>
    <w:rsid w:val="0041576C"/>
    <w:rsid w:val="00415D1E"/>
    <w:rsid w:val="00415DA2"/>
    <w:rsid w:val="00415DB2"/>
    <w:rsid w:val="00417205"/>
    <w:rsid w:val="0041799C"/>
    <w:rsid w:val="00417A90"/>
    <w:rsid w:val="00420BC1"/>
    <w:rsid w:val="00421CCE"/>
    <w:rsid w:val="0042270A"/>
    <w:rsid w:val="0042316C"/>
    <w:rsid w:val="00424A39"/>
    <w:rsid w:val="00425185"/>
    <w:rsid w:val="0042549C"/>
    <w:rsid w:val="004262B6"/>
    <w:rsid w:val="0042674C"/>
    <w:rsid w:val="00427093"/>
    <w:rsid w:val="00427D40"/>
    <w:rsid w:val="00431441"/>
    <w:rsid w:val="00431CB7"/>
    <w:rsid w:val="0043201D"/>
    <w:rsid w:val="004322D1"/>
    <w:rsid w:val="00432B3D"/>
    <w:rsid w:val="00433502"/>
    <w:rsid w:val="0043475F"/>
    <w:rsid w:val="00434F6A"/>
    <w:rsid w:val="00434F77"/>
    <w:rsid w:val="00435996"/>
    <w:rsid w:val="00436ADE"/>
    <w:rsid w:val="00437325"/>
    <w:rsid w:val="0043780E"/>
    <w:rsid w:val="00441163"/>
    <w:rsid w:val="00441632"/>
    <w:rsid w:val="00441B50"/>
    <w:rsid w:val="004428FF"/>
    <w:rsid w:val="00442F10"/>
    <w:rsid w:val="00443041"/>
    <w:rsid w:val="00443189"/>
    <w:rsid w:val="004431A4"/>
    <w:rsid w:val="00443671"/>
    <w:rsid w:val="004439AD"/>
    <w:rsid w:val="00443A1E"/>
    <w:rsid w:val="0044425F"/>
    <w:rsid w:val="00444FFA"/>
    <w:rsid w:val="00445BA5"/>
    <w:rsid w:val="00445BF5"/>
    <w:rsid w:val="00446AE6"/>
    <w:rsid w:val="00446B59"/>
    <w:rsid w:val="00446F4D"/>
    <w:rsid w:val="004475BF"/>
    <w:rsid w:val="00447A03"/>
    <w:rsid w:val="00447A22"/>
    <w:rsid w:val="00447BD8"/>
    <w:rsid w:val="00450FCE"/>
    <w:rsid w:val="00451426"/>
    <w:rsid w:val="004527A9"/>
    <w:rsid w:val="00453848"/>
    <w:rsid w:val="00453A10"/>
    <w:rsid w:val="004543E2"/>
    <w:rsid w:val="00454980"/>
    <w:rsid w:val="00455131"/>
    <w:rsid w:val="00455E7B"/>
    <w:rsid w:val="0045611E"/>
    <w:rsid w:val="00456CD0"/>
    <w:rsid w:val="00460AD0"/>
    <w:rsid w:val="00460B7D"/>
    <w:rsid w:val="00460E25"/>
    <w:rsid w:val="00460F4A"/>
    <w:rsid w:val="00461E0A"/>
    <w:rsid w:val="00461EA0"/>
    <w:rsid w:val="00462903"/>
    <w:rsid w:val="00462BF4"/>
    <w:rsid w:val="00462FF8"/>
    <w:rsid w:val="00463031"/>
    <w:rsid w:val="00463362"/>
    <w:rsid w:val="00463495"/>
    <w:rsid w:val="00463A5A"/>
    <w:rsid w:val="00463B66"/>
    <w:rsid w:val="00463D20"/>
    <w:rsid w:val="00463D7B"/>
    <w:rsid w:val="0046414B"/>
    <w:rsid w:val="004644BF"/>
    <w:rsid w:val="00465061"/>
    <w:rsid w:val="004655F8"/>
    <w:rsid w:val="00465618"/>
    <w:rsid w:val="00466015"/>
    <w:rsid w:val="0046613C"/>
    <w:rsid w:val="00466C03"/>
    <w:rsid w:val="00466E06"/>
    <w:rsid w:val="00467A4A"/>
    <w:rsid w:val="00467B59"/>
    <w:rsid w:val="00467EDF"/>
    <w:rsid w:val="00470968"/>
    <w:rsid w:val="00470BFC"/>
    <w:rsid w:val="004712A0"/>
    <w:rsid w:val="00471D9C"/>
    <w:rsid w:val="004721F3"/>
    <w:rsid w:val="00473FDD"/>
    <w:rsid w:val="0047413E"/>
    <w:rsid w:val="004741BA"/>
    <w:rsid w:val="004747C7"/>
    <w:rsid w:val="004755AF"/>
    <w:rsid w:val="004766C0"/>
    <w:rsid w:val="00476869"/>
    <w:rsid w:val="00477031"/>
    <w:rsid w:val="0047770F"/>
    <w:rsid w:val="0048256C"/>
    <w:rsid w:val="00483CD9"/>
    <w:rsid w:val="00485B90"/>
    <w:rsid w:val="00485D5B"/>
    <w:rsid w:val="004874B8"/>
    <w:rsid w:val="00487842"/>
    <w:rsid w:val="0049130D"/>
    <w:rsid w:val="00491348"/>
    <w:rsid w:val="0049207C"/>
    <w:rsid w:val="00492F50"/>
    <w:rsid w:val="00494187"/>
    <w:rsid w:val="00494AE9"/>
    <w:rsid w:val="00495028"/>
    <w:rsid w:val="004950E2"/>
    <w:rsid w:val="004955FB"/>
    <w:rsid w:val="00496A0D"/>
    <w:rsid w:val="0049734C"/>
    <w:rsid w:val="004977D3"/>
    <w:rsid w:val="004A054D"/>
    <w:rsid w:val="004A0C64"/>
    <w:rsid w:val="004A0ECE"/>
    <w:rsid w:val="004A0FB0"/>
    <w:rsid w:val="004A0FCE"/>
    <w:rsid w:val="004A1116"/>
    <w:rsid w:val="004A1B4F"/>
    <w:rsid w:val="004A2543"/>
    <w:rsid w:val="004A29DA"/>
    <w:rsid w:val="004A2BB1"/>
    <w:rsid w:val="004A2D86"/>
    <w:rsid w:val="004A347B"/>
    <w:rsid w:val="004A3580"/>
    <w:rsid w:val="004A44AE"/>
    <w:rsid w:val="004A4E3B"/>
    <w:rsid w:val="004A4EC1"/>
    <w:rsid w:val="004A5414"/>
    <w:rsid w:val="004A550E"/>
    <w:rsid w:val="004A55EF"/>
    <w:rsid w:val="004A5D37"/>
    <w:rsid w:val="004A6098"/>
    <w:rsid w:val="004A63B2"/>
    <w:rsid w:val="004A783D"/>
    <w:rsid w:val="004A7A59"/>
    <w:rsid w:val="004A7A6E"/>
    <w:rsid w:val="004B062B"/>
    <w:rsid w:val="004B0C09"/>
    <w:rsid w:val="004B150F"/>
    <w:rsid w:val="004B1B01"/>
    <w:rsid w:val="004B26B5"/>
    <w:rsid w:val="004B2905"/>
    <w:rsid w:val="004B382D"/>
    <w:rsid w:val="004B39F9"/>
    <w:rsid w:val="004B3B0D"/>
    <w:rsid w:val="004B3C26"/>
    <w:rsid w:val="004B3F53"/>
    <w:rsid w:val="004B4111"/>
    <w:rsid w:val="004B441D"/>
    <w:rsid w:val="004B4A39"/>
    <w:rsid w:val="004B5B15"/>
    <w:rsid w:val="004B6477"/>
    <w:rsid w:val="004B677E"/>
    <w:rsid w:val="004B7A8E"/>
    <w:rsid w:val="004C1F91"/>
    <w:rsid w:val="004C240F"/>
    <w:rsid w:val="004C24F6"/>
    <w:rsid w:val="004C2612"/>
    <w:rsid w:val="004C2894"/>
    <w:rsid w:val="004C29F5"/>
    <w:rsid w:val="004C2BC6"/>
    <w:rsid w:val="004C3470"/>
    <w:rsid w:val="004C41FF"/>
    <w:rsid w:val="004C4B77"/>
    <w:rsid w:val="004C515A"/>
    <w:rsid w:val="004C55F6"/>
    <w:rsid w:val="004C583F"/>
    <w:rsid w:val="004C7180"/>
    <w:rsid w:val="004C750D"/>
    <w:rsid w:val="004C7809"/>
    <w:rsid w:val="004D1895"/>
    <w:rsid w:val="004D20F5"/>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DE0"/>
    <w:rsid w:val="004D7F13"/>
    <w:rsid w:val="004E07BC"/>
    <w:rsid w:val="004E2483"/>
    <w:rsid w:val="004E30E7"/>
    <w:rsid w:val="004E325F"/>
    <w:rsid w:val="004E38FE"/>
    <w:rsid w:val="004E3A47"/>
    <w:rsid w:val="004E3FA6"/>
    <w:rsid w:val="004E476D"/>
    <w:rsid w:val="004E53FC"/>
    <w:rsid w:val="004E57BA"/>
    <w:rsid w:val="004E5DC8"/>
    <w:rsid w:val="004E6137"/>
    <w:rsid w:val="004E7426"/>
    <w:rsid w:val="004F0ED6"/>
    <w:rsid w:val="004F1AD0"/>
    <w:rsid w:val="004F1FAD"/>
    <w:rsid w:val="004F2870"/>
    <w:rsid w:val="004F2918"/>
    <w:rsid w:val="004F2A16"/>
    <w:rsid w:val="004F3E88"/>
    <w:rsid w:val="004F47F2"/>
    <w:rsid w:val="004F5B14"/>
    <w:rsid w:val="004F5DDA"/>
    <w:rsid w:val="004F68B6"/>
    <w:rsid w:val="004F7564"/>
    <w:rsid w:val="005002F0"/>
    <w:rsid w:val="00500560"/>
    <w:rsid w:val="005007A7"/>
    <w:rsid w:val="00500A8B"/>
    <w:rsid w:val="00500F99"/>
    <w:rsid w:val="0050170F"/>
    <w:rsid w:val="00502C0B"/>
    <w:rsid w:val="005034B4"/>
    <w:rsid w:val="0050547C"/>
    <w:rsid w:val="00505851"/>
    <w:rsid w:val="00506263"/>
    <w:rsid w:val="0050699A"/>
    <w:rsid w:val="005075E3"/>
    <w:rsid w:val="00511FA6"/>
    <w:rsid w:val="005124E6"/>
    <w:rsid w:val="0051264C"/>
    <w:rsid w:val="00512748"/>
    <w:rsid w:val="00513F3E"/>
    <w:rsid w:val="00514412"/>
    <w:rsid w:val="00514486"/>
    <w:rsid w:val="00514711"/>
    <w:rsid w:val="005151F6"/>
    <w:rsid w:val="00515215"/>
    <w:rsid w:val="005154C7"/>
    <w:rsid w:val="0051555A"/>
    <w:rsid w:val="00515872"/>
    <w:rsid w:val="00517DC9"/>
    <w:rsid w:val="00520255"/>
    <w:rsid w:val="005209D9"/>
    <w:rsid w:val="00521098"/>
    <w:rsid w:val="00521575"/>
    <w:rsid w:val="00521ABF"/>
    <w:rsid w:val="00521CBD"/>
    <w:rsid w:val="005225C3"/>
    <w:rsid w:val="00522914"/>
    <w:rsid w:val="00522A2A"/>
    <w:rsid w:val="005235C6"/>
    <w:rsid w:val="00523D7A"/>
    <w:rsid w:val="00524D45"/>
    <w:rsid w:val="00524E0E"/>
    <w:rsid w:val="00524F11"/>
    <w:rsid w:val="005256D6"/>
    <w:rsid w:val="005260DD"/>
    <w:rsid w:val="00526DB2"/>
    <w:rsid w:val="00526F83"/>
    <w:rsid w:val="00527159"/>
    <w:rsid w:val="005271BD"/>
    <w:rsid w:val="005274BF"/>
    <w:rsid w:val="0052750E"/>
    <w:rsid w:val="0052753A"/>
    <w:rsid w:val="005275FE"/>
    <w:rsid w:val="005277AF"/>
    <w:rsid w:val="0053029E"/>
    <w:rsid w:val="005311A5"/>
    <w:rsid w:val="0053155B"/>
    <w:rsid w:val="005322AB"/>
    <w:rsid w:val="00533936"/>
    <w:rsid w:val="00533AAE"/>
    <w:rsid w:val="00536C66"/>
    <w:rsid w:val="00537539"/>
    <w:rsid w:val="00537DFE"/>
    <w:rsid w:val="00540275"/>
    <w:rsid w:val="0054027A"/>
    <w:rsid w:val="00540A20"/>
    <w:rsid w:val="00540D1E"/>
    <w:rsid w:val="00540D78"/>
    <w:rsid w:val="00541689"/>
    <w:rsid w:val="005420D7"/>
    <w:rsid w:val="005427EF"/>
    <w:rsid w:val="00542DB4"/>
    <w:rsid w:val="00543080"/>
    <w:rsid w:val="005430D0"/>
    <w:rsid w:val="005436F7"/>
    <w:rsid w:val="0054373F"/>
    <w:rsid w:val="0054381F"/>
    <w:rsid w:val="0054459A"/>
    <w:rsid w:val="00544904"/>
    <w:rsid w:val="0054520F"/>
    <w:rsid w:val="00545C45"/>
    <w:rsid w:val="00546139"/>
    <w:rsid w:val="00546AC1"/>
    <w:rsid w:val="00547230"/>
    <w:rsid w:val="00551407"/>
    <w:rsid w:val="00553A70"/>
    <w:rsid w:val="00554073"/>
    <w:rsid w:val="0055429F"/>
    <w:rsid w:val="00554580"/>
    <w:rsid w:val="005559CE"/>
    <w:rsid w:val="00555C32"/>
    <w:rsid w:val="00561511"/>
    <w:rsid w:val="0056158E"/>
    <w:rsid w:val="0056209E"/>
    <w:rsid w:val="00563B6F"/>
    <w:rsid w:val="00564A4F"/>
    <w:rsid w:val="00565185"/>
    <w:rsid w:val="005651F4"/>
    <w:rsid w:val="005654CD"/>
    <w:rsid w:val="00565705"/>
    <w:rsid w:val="00566036"/>
    <w:rsid w:val="0056681F"/>
    <w:rsid w:val="00566F6B"/>
    <w:rsid w:val="00567E3C"/>
    <w:rsid w:val="00570126"/>
    <w:rsid w:val="00570A85"/>
    <w:rsid w:val="00570F7F"/>
    <w:rsid w:val="0057106A"/>
    <w:rsid w:val="005718C8"/>
    <w:rsid w:val="00571C4B"/>
    <w:rsid w:val="00572433"/>
    <w:rsid w:val="00572EC6"/>
    <w:rsid w:val="00572F8E"/>
    <w:rsid w:val="005733FF"/>
    <w:rsid w:val="00573518"/>
    <w:rsid w:val="00573C83"/>
    <w:rsid w:val="0057536F"/>
    <w:rsid w:val="005760FF"/>
    <w:rsid w:val="00576C98"/>
    <w:rsid w:val="005770B4"/>
    <w:rsid w:val="005778A5"/>
    <w:rsid w:val="005778D7"/>
    <w:rsid w:val="00577A95"/>
    <w:rsid w:val="00577C07"/>
    <w:rsid w:val="00580360"/>
    <w:rsid w:val="00580BB8"/>
    <w:rsid w:val="00582952"/>
    <w:rsid w:val="00583218"/>
    <w:rsid w:val="005832B6"/>
    <w:rsid w:val="0058440B"/>
    <w:rsid w:val="005847A7"/>
    <w:rsid w:val="00585156"/>
    <w:rsid w:val="0058520C"/>
    <w:rsid w:val="0058631B"/>
    <w:rsid w:val="00587823"/>
    <w:rsid w:val="00590352"/>
    <w:rsid w:val="00591194"/>
    <w:rsid w:val="005915D1"/>
    <w:rsid w:val="00591738"/>
    <w:rsid w:val="00591788"/>
    <w:rsid w:val="005919F8"/>
    <w:rsid w:val="00591F80"/>
    <w:rsid w:val="00592C49"/>
    <w:rsid w:val="00593BDF"/>
    <w:rsid w:val="005958DB"/>
    <w:rsid w:val="00595B32"/>
    <w:rsid w:val="00596541"/>
    <w:rsid w:val="0059664F"/>
    <w:rsid w:val="00596CEB"/>
    <w:rsid w:val="005976E7"/>
    <w:rsid w:val="00597A66"/>
    <w:rsid w:val="005A03B1"/>
    <w:rsid w:val="005A105C"/>
    <w:rsid w:val="005A234D"/>
    <w:rsid w:val="005A49C6"/>
    <w:rsid w:val="005A4E8C"/>
    <w:rsid w:val="005A5435"/>
    <w:rsid w:val="005A7930"/>
    <w:rsid w:val="005A7D34"/>
    <w:rsid w:val="005B07E9"/>
    <w:rsid w:val="005B0DB2"/>
    <w:rsid w:val="005B33D0"/>
    <w:rsid w:val="005B37F2"/>
    <w:rsid w:val="005B3B68"/>
    <w:rsid w:val="005B3F29"/>
    <w:rsid w:val="005B4803"/>
    <w:rsid w:val="005B5573"/>
    <w:rsid w:val="005B581F"/>
    <w:rsid w:val="005B5ED2"/>
    <w:rsid w:val="005B6C23"/>
    <w:rsid w:val="005B70A6"/>
    <w:rsid w:val="005B7FE5"/>
    <w:rsid w:val="005C01F4"/>
    <w:rsid w:val="005C1365"/>
    <w:rsid w:val="005C181A"/>
    <w:rsid w:val="005C1914"/>
    <w:rsid w:val="005C28EB"/>
    <w:rsid w:val="005C2911"/>
    <w:rsid w:val="005C383D"/>
    <w:rsid w:val="005C3ADF"/>
    <w:rsid w:val="005C40FA"/>
    <w:rsid w:val="005C435D"/>
    <w:rsid w:val="005C5027"/>
    <w:rsid w:val="005C5534"/>
    <w:rsid w:val="005C5A2C"/>
    <w:rsid w:val="005C5E97"/>
    <w:rsid w:val="005C6F4B"/>
    <w:rsid w:val="005C73DB"/>
    <w:rsid w:val="005C777D"/>
    <w:rsid w:val="005D058D"/>
    <w:rsid w:val="005D0BE2"/>
    <w:rsid w:val="005D245B"/>
    <w:rsid w:val="005D2F87"/>
    <w:rsid w:val="005D33F2"/>
    <w:rsid w:val="005D37DB"/>
    <w:rsid w:val="005D3DC6"/>
    <w:rsid w:val="005D3FED"/>
    <w:rsid w:val="005D4888"/>
    <w:rsid w:val="005D52EE"/>
    <w:rsid w:val="005D5FE8"/>
    <w:rsid w:val="005D61FD"/>
    <w:rsid w:val="005D67EF"/>
    <w:rsid w:val="005D6FB9"/>
    <w:rsid w:val="005D70B1"/>
    <w:rsid w:val="005D71BE"/>
    <w:rsid w:val="005D71CA"/>
    <w:rsid w:val="005D7450"/>
    <w:rsid w:val="005E0BBC"/>
    <w:rsid w:val="005E0E6C"/>
    <w:rsid w:val="005E13A8"/>
    <w:rsid w:val="005E1D57"/>
    <w:rsid w:val="005E1FC7"/>
    <w:rsid w:val="005E20F8"/>
    <w:rsid w:val="005E232F"/>
    <w:rsid w:val="005E2578"/>
    <w:rsid w:val="005E264A"/>
    <w:rsid w:val="005E35FE"/>
    <w:rsid w:val="005E4F8B"/>
    <w:rsid w:val="005E5671"/>
    <w:rsid w:val="005E5959"/>
    <w:rsid w:val="005E5F7B"/>
    <w:rsid w:val="005E62D0"/>
    <w:rsid w:val="005E6B8B"/>
    <w:rsid w:val="005E7A9B"/>
    <w:rsid w:val="005F01F2"/>
    <w:rsid w:val="005F1182"/>
    <w:rsid w:val="005F1506"/>
    <w:rsid w:val="005F1B1A"/>
    <w:rsid w:val="005F290C"/>
    <w:rsid w:val="005F2DC5"/>
    <w:rsid w:val="005F2ED5"/>
    <w:rsid w:val="005F30A3"/>
    <w:rsid w:val="005F30AA"/>
    <w:rsid w:val="005F39B7"/>
    <w:rsid w:val="005F4641"/>
    <w:rsid w:val="005F47F9"/>
    <w:rsid w:val="005F4C15"/>
    <w:rsid w:val="005F50DD"/>
    <w:rsid w:val="005F540A"/>
    <w:rsid w:val="005F6C76"/>
    <w:rsid w:val="005F6C9A"/>
    <w:rsid w:val="005F6CC9"/>
    <w:rsid w:val="005F79EE"/>
    <w:rsid w:val="005F7BB5"/>
    <w:rsid w:val="006000C4"/>
    <w:rsid w:val="00600578"/>
    <w:rsid w:val="00600C2B"/>
    <w:rsid w:val="00601DB1"/>
    <w:rsid w:val="00601E79"/>
    <w:rsid w:val="00602FB8"/>
    <w:rsid w:val="006033F9"/>
    <w:rsid w:val="00604F9F"/>
    <w:rsid w:val="00606ED3"/>
    <w:rsid w:val="00607749"/>
    <w:rsid w:val="00607B23"/>
    <w:rsid w:val="00607C9C"/>
    <w:rsid w:val="006104C9"/>
    <w:rsid w:val="0061093A"/>
    <w:rsid w:val="00612650"/>
    <w:rsid w:val="00613288"/>
    <w:rsid w:val="006139FF"/>
    <w:rsid w:val="006143A3"/>
    <w:rsid w:val="0061440B"/>
    <w:rsid w:val="00614FE3"/>
    <w:rsid w:val="00616B4B"/>
    <w:rsid w:val="00621BA6"/>
    <w:rsid w:val="00621F09"/>
    <w:rsid w:val="006222ED"/>
    <w:rsid w:val="00622303"/>
    <w:rsid w:val="0062376C"/>
    <w:rsid w:val="0062395D"/>
    <w:rsid w:val="006239E1"/>
    <w:rsid w:val="006242FE"/>
    <w:rsid w:val="006245D1"/>
    <w:rsid w:val="00625834"/>
    <w:rsid w:val="006260CC"/>
    <w:rsid w:val="00626146"/>
    <w:rsid w:val="0062676E"/>
    <w:rsid w:val="006269AA"/>
    <w:rsid w:val="00626B36"/>
    <w:rsid w:val="00626BAE"/>
    <w:rsid w:val="00626CCD"/>
    <w:rsid w:val="00626F5B"/>
    <w:rsid w:val="006273EC"/>
    <w:rsid w:val="00627539"/>
    <w:rsid w:val="006301E0"/>
    <w:rsid w:val="0063025A"/>
    <w:rsid w:val="00630DEF"/>
    <w:rsid w:val="0063201E"/>
    <w:rsid w:val="00632F5A"/>
    <w:rsid w:val="00633328"/>
    <w:rsid w:val="00634230"/>
    <w:rsid w:val="00635E25"/>
    <w:rsid w:val="00636593"/>
    <w:rsid w:val="00637805"/>
    <w:rsid w:val="0063797E"/>
    <w:rsid w:val="00640225"/>
    <w:rsid w:val="006403F3"/>
    <w:rsid w:val="00641033"/>
    <w:rsid w:val="00641138"/>
    <w:rsid w:val="006420DB"/>
    <w:rsid w:val="006423CF"/>
    <w:rsid w:val="006425C2"/>
    <w:rsid w:val="0064279B"/>
    <w:rsid w:val="00642DB6"/>
    <w:rsid w:val="0064315F"/>
    <w:rsid w:val="0064465D"/>
    <w:rsid w:val="00644A7B"/>
    <w:rsid w:val="00644E6D"/>
    <w:rsid w:val="00645DD4"/>
    <w:rsid w:val="006472BB"/>
    <w:rsid w:val="006477AA"/>
    <w:rsid w:val="006513C1"/>
    <w:rsid w:val="006526CA"/>
    <w:rsid w:val="0065373E"/>
    <w:rsid w:val="00653EE4"/>
    <w:rsid w:val="00654341"/>
    <w:rsid w:val="00655ABC"/>
    <w:rsid w:val="0065610C"/>
    <w:rsid w:val="0065627D"/>
    <w:rsid w:val="00657E83"/>
    <w:rsid w:val="00657EF0"/>
    <w:rsid w:val="00660374"/>
    <w:rsid w:val="00661022"/>
    <w:rsid w:val="006612FC"/>
    <w:rsid w:val="00663830"/>
    <w:rsid w:val="00664E43"/>
    <w:rsid w:val="00665BAA"/>
    <w:rsid w:val="00665F51"/>
    <w:rsid w:val="0066637F"/>
    <w:rsid w:val="00666AC2"/>
    <w:rsid w:val="00666AEE"/>
    <w:rsid w:val="0066746C"/>
    <w:rsid w:val="00670419"/>
    <w:rsid w:val="00670BF6"/>
    <w:rsid w:val="00671068"/>
    <w:rsid w:val="006713E0"/>
    <w:rsid w:val="00671433"/>
    <w:rsid w:val="006720D4"/>
    <w:rsid w:val="00672BDB"/>
    <w:rsid w:val="00673BA5"/>
    <w:rsid w:val="00673C07"/>
    <w:rsid w:val="00673D56"/>
    <w:rsid w:val="006744D4"/>
    <w:rsid w:val="0067511B"/>
    <w:rsid w:val="00675229"/>
    <w:rsid w:val="00677024"/>
    <w:rsid w:val="00677F16"/>
    <w:rsid w:val="00680F44"/>
    <w:rsid w:val="00681670"/>
    <w:rsid w:val="0068167D"/>
    <w:rsid w:val="006816FB"/>
    <w:rsid w:val="00682282"/>
    <w:rsid w:val="0068261D"/>
    <w:rsid w:val="00682B1A"/>
    <w:rsid w:val="00683262"/>
    <w:rsid w:val="00683AF0"/>
    <w:rsid w:val="0068493A"/>
    <w:rsid w:val="00684F0A"/>
    <w:rsid w:val="006857EA"/>
    <w:rsid w:val="00686416"/>
    <w:rsid w:val="00686F27"/>
    <w:rsid w:val="0068725F"/>
    <w:rsid w:val="00687467"/>
    <w:rsid w:val="00687BE1"/>
    <w:rsid w:val="0069080E"/>
    <w:rsid w:val="00690984"/>
    <w:rsid w:val="00691BD0"/>
    <w:rsid w:val="006920C4"/>
    <w:rsid w:val="00693180"/>
    <w:rsid w:val="00693803"/>
    <w:rsid w:val="006938CC"/>
    <w:rsid w:val="00694CCB"/>
    <w:rsid w:val="006952BE"/>
    <w:rsid w:val="00695C4C"/>
    <w:rsid w:val="00696194"/>
    <w:rsid w:val="00696251"/>
    <w:rsid w:val="006968A6"/>
    <w:rsid w:val="00696CFE"/>
    <w:rsid w:val="006971DA"/>
    <w:rsid w:val="00697303"/>
    <w:rsid w:val="00697BE4"/>
    <w:rsid w:val="00697F0A"/>
    <w:rsid w:val="006A1256"/>
    <w:rsid w:val="006A1AA3"/>
    <w:rsid w:val="006A1BC0"/>
    <w:rsid w:val="006A200F"/>
    <w:rsid w:val="006A2891"/>
    <w:rsid w:val="006A28F5"/>
    <w:rsid w:val="006A33B4"/>
    <w:rsid w:val="006A364C"/>
    <w:rsid w:val="006A44E5"/>
    <w:rsid w:val="006A473D"/>
    <w:rsid w:val="006A47D3"/>
    <w:rsid w:val="006A50B1"/>
    <w:rsid w:val="006A796C"/>
    <w:rsid w:val="006A7AD0"/>
    <w:rsid w:val="006B0648"/>
    <w:rsid w:val="006B0ACD"/>
    <w:rsid w:val="006B124A"/>
    <w:rsid w:val="006B1333"/>
    <w:rsid w:val="006B1437"/>
    <w:rsid w:val="006B1AF6"/>
    <w:rsid w:val="006B2A55"/>
    <w:rsid w:val="006B2D6A"/>
    <w:rsid w:val="006B3B4F"/>
    <w:rsid w:val="006B440C"/>
    <w:rsid w:val="006B4433"/>
    <w:rsid w:val="006B4901"/>
    <w:rsid w:val="006B4D5D"/>
    <w:rsid w:val="006B6708"/>
    <w:rsid w:val="006B6AB9"/>
    <w:rsid w:val="006B6B63"/>
    <w:rsid w:val="006B7FDB"/>
    <w:rsid w:val="006C07C3"/>
    <w:rsid w:val="006C1504"/>
    <w:rsid w:val="006C1FB5"/>
    <w:rsid w:val="006C2725"/>
    <w:rsid w:val="006C2785"/>
    <w:rsid w:val="006C31B1"/>
    <w:rsid w:val="006C3310"/>
    <w:rsid w:val="006C4444"/>
    <w:rsid w:val="006C4A55"/>
    <w:rsid w:val="006C5130"/>
    <w:rsid w:val="006C54C3"/>
    <w:rsid w:val="006C54EB"/>
    <w:rsid w:val="006C69EC"/>
    <w:rsid w:val="006D0320"/>
    <w:rsid w:val="006D0E04"/>
    <w:rsid w:val="006D21BB"/>
    <w:rsid w:val="006D2DE5"/>
    <w:rsid w:val="006D3A6C"/>
    <w:rsid w:val="006D4016"/>
    <w:rsid w:val="006D5182"/>
    <w:rsid w:val="006D5259"/>
    <w:rsid w:val="006D58BA"/>
    <w:rsid w:val="006D6906"/>
    <w:rsid w:val="006D6E91"/>
    <w:rsid w:val="006D7925"/>
    <w:rsid w:val="006D7DE7"/>
    <w:rsid w:val="006E09DC"/>
    <w:rsid w:val="006E0A25"/>
    <w:rsid w:val="006E125C"/>
    <w:rsid w:val="006E132A"/>
    <w:rsid w:val="006E1792"/>
    <w:rsid w:val="006E19D3"/>
    <w:rsid w:val="006E1FE9"/>
    <w:rsid w:val="006E2369"/>
    <w:rsid w:val="006E274D"/>
    <w:rsid w:val="006E31ED"/>
    <w:rsid w:val="006E41B5"/>
    <w:rsid w:val="006E4D79"/>
    <w:rsid w:val="006E5841"/>
    <w:rsid w:val="006E6BBC"/>
    <w:rsid w:val="006E6E40"/>
    <w:rsid w:val="006F07C0"/>
    <w:rsid w:val="006F0AD7"/>
    <w:rsid w:val="006F121E"/>
    <w:rsid w:val="006F1494"/>
    <w:rsid w:val="006F2356"/>
    <w:rsid w:val="006F2B09"/>
    <w:rsid w:val="006F333A"/>
    <w:rsid w:val="006F4A71"/>
    <w:rsid w:val="006F55F7"/>
    <w:rsid w:val="006F63F8"/>
    <w:rsid w:val="006F6CC3"/>
    <w:rsid w:val="006F6E43"/>
    <w:rsid w:val="006F7082"/>
    <w:rsid w:val="006F70A2"/>
    <w:rsid w:val="006F72C8"/>
    <w:rsid w:val="006F7C0D"/>
    <w:rsid w:val="007009BA"/>
    <w:rsid w:val="0070156D"/>
    <w:rsid w:val="00701AA3"/>
    <w:rsid w:val="0070206C"/>
    <w:rsid w:val="00702C3F"/>
    <w:rsid w:val="007030D2"/>
    <w:rsid w:val="00703400"/>
    <w:rsid w:val="00704046"/>
    <w:rsid w:val="0070414B"/>
    <w:rsid w:val="0070454C"/>
    <w:rsid w:val="0070563D"/>
    <w:rsid w:val="00705ACE"/>
    <w:rsid w:val="0070624C"/>
    <w:rsid w:val="007104B0"/>
    <w:rsid w:val="00710834"/>
    <w:rsid w:val="007109C6"/>
    <w:rsid w:val="00710DE6"/>
    <w:rsid w:val="007115E1"/>
    <w:rsid w:val="00711601"/>
    <w:rsid w:val="0071182B"/>
    <w:rsid w:val="00711E80"/>
    <w:rsid w:val="00712631"/>
    <w:rsid w:val="007130C5"/>
    <w:rsid w:val="00714DA7"/>
    <w:rsid w:val="0071537A"/>
    <w:rsid w:val="00715C7A"/>
    <w:rsid w:val="00716439"/>
    <w:rsid w:val="00717847"/>
    <w:rsid w:val="007204E4"/>
    <w:rsid w:val="007205F2"/>
    <w:rsid w:val="007207EB"/>
    <w:rsid w:val="00720826"/>
    <w:rsid w:val="00720962"/>
    <w:rsid w:val="00720E91"/>
    <w:rsid w:val="00722A80"/>
    <w:rsid w:val="00722AC0"/>
    <w:rsid w:val="007239A8"/>
    <w:rsid w:val="00723BE3"/>
    <w:rsid w:val="00725459"/>
    <w:rsid w:val="00727718"/>
    <w:rsid w:val="00727E41"/>
    <w:rsid w:val="00727F74"/>
    <w:rsid w:val="007306A6"/>
    <w:rsid w:val="007318B3"/>
    <w:rsid w:val="00731A13"/>
    <w:rsid w:val="00731BEE"/>
    <w:rsid w:val="0073312C"/>
    <w:rsid w:val="0073357A"/>
    <w:rsid w:val="007336A8"/>
    <w:rsid w:val="00734D5F"/>
    <w:rsid w:val="00734E34"/>
    <w:rsid w:val="0073610C"/>
    <w:rsid w:val="00737C13"/>
    <w:rsid w:val="00737DCB"/>
    <w:rsid w:val="00740ACC"/>
    <w:rsid w:val="00740C0E"/>
    <w:rsid w:val="007414E6"/>
    <w:rsid w:val="007417F0"/>
    <w:rsid w:val="0074339E"/>
    <w:rsid w:val="0074385B"/>
    <w:rsid w:val="00744CDA"/>
    <w:rsid w:val="00745244"/>
    <w:rsid w:val="00745370"/>
    <w:rsid w:val="00745D66"/>
    <w:rsid w:val="007468FF"/>
    <w:rsid w:val="00746E8B"/>
    <w:rsid w:val="00746FEA"/>
    <w:rsid w:val="007475E3"/>
    <w:rsid w:val="007477E1"/>
    <w:rsid w:val="007506BE"/>
    <w:rsid w:val="00750A00"/>
    <w:rsid w:val="007511CE"/>
    <w:rsid w:val="007523AF"/>
    <w:rsid w:val="007527A9"/>
    <w:rsid w:val="00752806"/>
    <w:rsid w:val="00752E4F"/>
    <w:rsid w:val="00752FC7"/>
    <w:rsid w:val="00753AA1"/>
    <w:rsid w:val="007543E3"/>
    <w:rsid w:val="00754E91"/>
    <w:rsid w:val="00755A63"/>
    <w:rsid w:val="00755BF8"/>
    <w:rsid w:val="0075639C"/>
    <w:rsid w:val="0075641B"/>
    <w:rsid w:val="00756FAF"/>
    <w:rsid w:val="00757752"/>
    <w:rsid w:val="00757EE9"/>
    <w:rsid w:val="00760936"/>
    <w:rsid w:val="00761C71"/>
    <w:rsid w:val="00762331"/>
    <w:rsid w:val="0076326C"/>
    <w:rsid w:val="007634D3"/>
    <w:rsid w:val="0076383B"/>
    <w:rsid w:val="00764379"/>
    <w:rsid w:val="00764996"/>
    <w:rsid w:val="0076592C"/>
    <w:rsid w:val="00765A83"/>
    <w:rsid w:val="0076625F"/>
    <w:rsid w:val="00766A5E"/>
    <w:rsid w:val="00770BF4"/>
    <w:rsid w:val="00771FE9"/>
    <w:rsid w:val="007725A5"/>
    <w:rsid w:val="00773E61"/>
    <w:rsid w:val="00774182"/>
    <w:rsid w:val="00774CDC"/>
    <w:rsid w:val="00775635"/>
    <w:rsid w:val="007756B8"/>
    <w:rsid w:val="00775722"/>
    <w:rsid w:val="00775ECD"/>
    <w:rsid w:val="00775F64"/>
    <w:rsid w:val="00776109"/>
    <w:rsid w:val="00776C7C"/>
    <w:rsid w:val="007772F5"/>
    <w:rsid w:val="00780A0A"/>
    <w:rsid w:val="00780B08"/>
    <w:rsid w:val="0078179D"/>
    <w:rsid w:val="00781CFB"/>
    <w:rsid w:val="00782E9D"/>
    <w:rsid w:val="00783298"/>
    <w:rsid w:val="007838E6"/>
    <w:rsid w:val="00783A56"/>
    <w:rsid w:val="00783FE5"/>
    <w:rsid w:val="007842DE"/>
    <w:rsid w:val="007848A8"/>
    <w:rsid w:val="00784CB0"/>
    <w:rsid w:val="00784D81"/>
    <w:rsid w:val="007856F6"/>
    <w:rsid w:val="00785DD0"/>
    <w:rsid w:val="0078624C"/>
    <w:rsid w:val="00786568"/>
    <w:rsid w:val="00786B00"/>
    <w:rsid w:val="00786CE1"/>
    <w:rsid w:val="00787B81"/>
    <w:rsid w:val="00787C83"/>
    <w:rsid w:val="00790021"/>
    <w:rsid w:val="00790D0A"/>
    <w:rsid w:val="0079362A"/>
    <w:rsid w:val="00793F3E"/>
    <w:rsid w:val="007950D3"/>
    <w:rsid w:val="00796B9D"/>
    <w:rsid w:val="00797CD6"/>
    <w:rsid w:val="007A090A"/>
    <w:rsid w:val="007A0CEF"/>
    <w:rsid w:val="007A0E0A"/>
    <w:rsid w:val="007A0F8F"/>
    <w:rsid w:val="007A150C"/>
    <w:rsid w:val="007A2D81"/>
    <w:rsid w:val="007A3FFB"/>
    <w:rsid w:val="007A48D5"/>
    <w:rsid w:val="007A67CC"/>
    <w:rsid w:val="007A73C8"/>
    <w:rsid w:val="007A79B4"/>
    <w:rsid w:val="007B0E67"/>
    <w:rsid w:val="007B0E95"/>
    <w:rsid w:val="007B1811"/>
    <w:rsid w:val="007B227A"/>
    <w:rsid w:val="007B29EE"/>
    <w:rsid w:val="007B3024"/>
    <w:rsid w:val="007B3B33"/>
    <w:rsid w:val="007B4032"/>
    <w:rsid w:val="007B4568"/>
    <w:rsid w:val="007B476B"/>
    <w:rsid w:val="007B62DF"/>
    <w:rsid w:val="007B64EC"/>
    <w:rsid w:val="007B6DA6"/>
    <w:rsid w:val="007B6F9B"/>
    <w:rsid w:val="007B704F"/>
    <w:rsid w:val="007B7D63"/>
    <w:rsid w:val="007C0DA8"/>
    <w:rsid w:val="007C0F6E"/>
    <w:rsid w:val="007C1F3D"/>
    <w:rsid w:val="007C2194"/>
    <w:rsid w:val="007C2604"/>
    <w:rsid w:val="007C2D95"/>
    <w:rsid w:val="007C36A5"/>
    <w:rsid w:val="007C40FA"/>
    <w:rsid w:val="007C41DB"/>
    <w:rsid w:val="007C46D3"/>
    <w:rsid w:val="007C4A08"/>
    <w:rsid w:val="007C4B75"/>
    <w:rsid w:val="007C4BBB"/>
    <w:rsid w:val="007C4C55"/>
    <w:rsid w:val="007C4CA1"/>
    <w:rsid w:val="007C690E"/>
    <w:rsid w:val="007C729B"/>
    <w:rsid w:val="007D0514"/>
    <w:rsid w:val="007D11A5"/>
    <w:rsid w:val="007D11EE"/>
    <w:rsid w:val="007D1C61"/>
    <w:rsid w:val="007D2B23"/>
    <w:rsid w:val="007D2CCD"/>
    <w:rsid w:val="007D5979"/>
    <w:rsid w:val="007D608A"/>
    <w:rsid w:val="007D73DA"/>
    <w:rsid w:val="007E0074"/>
    <w:rsid w:val="007E03DF"/>
    <w:rsid w:val="007E0E0C"/>
    <w:rsid w:val="007E2250"/>
    <w:rsid w:val="007E2EDC"/>
    <w:rsid w:val="007E3BA0"/>
    <w:rsid w:val="007E4987"/>
    <w:rsid w:val="007E5E83"/>
    <w:rsid w:val="007E5F73"/>
    <w:rsid w:val="007E6122"/>
    <w:rsid w:val="007E6DC5"/>
    <w:rsid w:val="007E75B4"/>
    <w:rsid w:val="007E76D9"/>
    <w:rsid w:val="007F15A1"/>
    <w:rsid w:val="007F17E8"/>
    <w:rsid w:val="007F2449"/>
    <w:rsid w:val="007F2B47"/>
    <w:rsid w:val="007F3424"/>
    <w:rsid w:val="007F4636"/>
    <w:rsid w:val="007F4824"/>
    <w:rsid w:val="007F4C35"/>
    <w:rsid w:val="007F52C9"/>
    <w:rsid w:val="007F65C3"/>
    <w:rsid w:val="007F7B5B"/>
    <w:rsid w:val="00800CAC"/>
    <w:rsid w:val="0080106D"/>
    <w:rsid w:val="00801889"/>
    <w:rsid w:val="00803448"/>
    <w:rsid w:val="00803FEE"/>
    <w:rsid w:val="00804AFF"/>
    <w:rsid w:val="00804B6A"/>
    <w:rsid w:val="00804C9F"/>
    <w:rsid w:val="0080553B"/>
    <w:rsid w:val="00805BF9"/>
    <w:rsid w:val="00807462"/>
    <w:rsid w:val="008075AC"/>
    <w:rsid w:val="0081048E"/>
    <w:rsid w:val="00810E94"/>
    <w:rsid w:val="00810F19"/>
    <w:rsid w:val="00811588"/>
    <w:rsid w:val="00811E0A"/>
    <w:rsid w:val="00812F29"/>
    <w:rsid w:val="00813043"/>
    <w:rsid w:val="008133DC"/>
    <w:rsid w:val="008156E7"/>
    <w:rsid w:val="00815E20"/>
    <w:rsid w:val="00816C87"/>
    <w:rsid w:val="00816D44"/>
    <w:rsid w:val="008176A9"/>
    <w:rsid w:val="00817C27"/>
    <w:rsid w:val="00817C54"/>
    <w:rsid w:val="008205F2"/>
    <w:rsid w:val="00820BE2"/>
    <w:rsid w:val="0082146D"/>
    <w:rsid w:val="00821FFB"/>
    <w:rsid w:val="008223F4"/>
    <w:rsid w:val="00822689"/>
    <w:rsid w:val="00822771"/>
    <w:rsid w:val="00822B44"/>
    <w:rsid w:val="00822FEE"/>
    <w:rsid w:val="00823C6B"/>
    <w:rsid w:val="00823CA6"/>
    <w:rsid w:val="00824081"/>
    <w:rsid w:val="008240F6"/>
    <w:rsid w:val="0082481B"/>
    <w:rsid w:val="00825393"/>
    <w:rsid w:val="00825BBB"/>
    <w:rsid w:val="00826292"/>
    <w:rsid w:val="00826C60"/>
    <w:rsid w:val="00826CD7"/>
    <w:rsid w:val="00827300"/>
    <w:rsid w:val="00827743"/>
    <w:rsid w:val="0083082C"/>
    <w:rsid w:val="00830C67"/>
    <w:rsid w:val="00831844"/>
    <w:rsid w:val="00831DB5"/>
    <w:rsid w:val="0083213D"/>
    <w:rsid w:val="00832A40"/>
    <w:rsid w:val="00832A8D"/>
    <w:rsid w:val="00832C7A"/>
    <w:rsid w:val="00832F78"/>
    <w:rsid w:val="0083336A"/>
    <w:rsid w:val="00833750"/>
    <w:rsid w:val="0083378E"/>
    <w:rsid w:val="00833813"/>
    <w:rsid w:val="008339F3"/>
    <w:rsid w:val="00833BD6"/>
    <w:rsid w:val="008343DF"/>
    <w:rsid w:val="00834C7B"/>
    <w:rsid w:val="00834DCE"/>
    <w:rsid w:val="00835250"/>
    <w:rsid w:val="00835877"/>
    <w:rsid w:val="00836F9A"/>
    <w:rsid w:val="00837C39"/>
    <w:rsid w:val="00837D6F"/>
    <w:rsid w:val="00837DBE"/>
    <w:rsid w:val="00841147"/>
    <w:rsid w:val="0084145A"/>
    <w:rsid w:val="0084181C"/>
    <w:rsid w:val="0084295A"/>
    <w:rsid w:val="008429FC"/>
    <w:rsid w:val="00843A7B"/>
    <w:rsid w:val="00843C71"/>
    <w:rsid w:val="00844325"/>
    <w:rsid w:val="0084433E"/>
    <w:rsid w:val="00844F1A"/>
    <w:rsid w:val="008454F1"/>
    <w:rsid w:val="00845819"/>
    <w:rsid w:val="0084584B"/>
    <w:rsid w:val="0084603B"/>
    <w:rsid w:val="00846451"/>
    <w:rsid w:val="00850C2E"/>
    <w:rsid w:val="00850CDC"/>
    <w:rsid w:val="008510BB"/>
    <w:rsid w:val="008513E6"/>
    <w:rsid w:val="008518D9"/>
    <w:rsid w:val="00851E88"/>
    <w:rsid w:val="008523F1"/>
    <w:rsid w:val="008526C1"/>
    <w:rsid w:val="008526CA"/>
    <w:rsid w:val="00852996"/>
    <w:rsid w:val="00853217"/>
    <w:rsid w:val="008533BD"/>
    <w:rsid w:val="00855CF1"/>
    <w:rsid w:val="008562AA"/>
    <w:rsid w:val="00856692"/>
    <w:rsid w:val="008575B5"/>
    <w:rsid w:val="00857A26"/>
    <w:rsid w:val="00857BA8"/>
    <w:rsid w:val="008603E1"/>
    <w:rsid w:val="008606F6"/>
    <w:rsid w:val="00860F68"/>
    <w:rsid w:val="00861FF5"/>
    <w:rsid w:val="00862555"/>
    <w:rsid w:val="00862B02"/>
    <w:rsid w:val="00862BFF"/>
    <w:rsid w:val="00863A11"/>
    <w:rsid w:val="00864543"/>
    <w:rsid w:val="008645CB"/>
    <w:rsid w:val="00865450"/>
    <w:rsid w:val="0086571E"/>
    <w:rsid w:val="00865E5A"/>
    <w:rsid w:val="0086656E"/>
    <w:rsid w:val="00867302"/>
    <w:rsid w:val="00870571"/>
    <w:rsid w:val="00870A15"/>
    <w:rsid w:val="00870CCA"/>
    <w:rsid w:val="00871B42"/>
    <w:rsid w:val="00872B52"/>
    <w:rsid w:val="008734BD"/>
    <w:rsid w:val="00873EFF"/>
    <w:rsid w:val="0087433D"/>
    <w:rsid w:val="008743BC"/>
    <w:rsid w:val="008744D8"/>
    <w:rsid w:val="00875A46"/>
    <w:rsid w:val="00876023"/>
    <w:rsid w:val="008761C9"/>
    <w:rsid w:val="00876BD8"/>
    <w:rsid w:val="00876D02"/>
    <w:rsid w:val="00877C0A"/>
    <w:rsid w:val="00877C46"/>
    <w:rsid w:val="00877EBC"/>
    <w:rsid w:val="008802B0"/>
    <w:rsid w:val="00880B62"/>
    <w:rsid w:val="00880D20"/>
    <w:rsid w:val="008817E3"/>
    <w:rsid w:val="00881CB2"/>
    <w:rsid w:val="00882F2B"/>
    <w:rsid w:val="00883509"/>
    <w:rsid w:val="008837A9"/>
    <w:rsid w:val="00884382"/>
    <w:rsid w:val="00884E24"/>
    <w:rsid w:val="00885B77"/>
    <w:rsid w:val="00885C4F"/>
    <w:rsid w:val="0088665B"/>
    <w:rsid w:val="00886B31"/>
    <w:rsid w:val="00886D22"/>
    <w:rsid w:val="00886F5A"/>
    <w:rsid w:val="00887D34"/>
    <w:rsid w:val="00890384"/>
    <w:rsid w:val="00891485"/>
    <w:rsid w:val="00891F6F"/>
    <w:rsid w:val="008923E8"/>
    <w:rsid w:val="00892DE1"/>
    <w:rsid w:val="008930FB"/>
    <w:rsid w:val="008936FF"/>
    <w:rsid w:val="00894315"/>
    <w:rsid w:val="008943ED"/>
    <w:rsid w:val="00894EE5"/>
    <w:rsid w:val="00895D42"/>
    <w:rsid w:val="008962EC"/>
    <w:rsid w:val="00896C6A"/>
    <w:rsid w:val="00897086"/>
    <w:rsid w:val="00897654"/>
    <w:rsid w:val="00897EF4"/>
    <w:rsid w:val="00897FA6"/>
    <w:rsid w:val="008A0010"/>
    <w:rsid w:val="008A002B"/>
    <w:rsid w:val="008A1B8A"/>
    <w:rsid w:val="008A212C"/>
    <w:rsid w:val="008A2AF9"/>
    <w:rsid w:val="008A4216"/>
    <w:rsid w:val="008A4AC7"/>
    <w:rsid w:val="008A5080"/>
    <w:rsid w:val="008A529D"/>
    <w:rsid w:val="008A553B"/>
    <w:rsid w:val="008A5C24"/>
    <w:rsid w:val="008A5D9D"/>
    <w:rsid w:val="008A640F"/>
    <w:rsid w:val="008B00A0"/>
    <w:rsid w:val="008B0236"/>
    <w:rsid w:val="008B04DE"/>
    <w:rsid w:val="008B05F5"/>
    <w:rsid w:val="008B0ABD"/>
    <w:rsid w:val="008B20FA"/>
    <w:rsid w:val="008B21EB"/>
    <w:rsid w:val="008B535E"/>
    <w:rsid w:val="008B7A75"/>
    <w:rsid w:val="008B7EA9"/>
    <w:rsid w:val="008C0EE1"/>
    <w:rsid w:val="008C191B"/>
    <w:rsid w:val="008C1ADA"/>
    <w:rsid w:val="008C1CE4"/>
    <w:rsid w:val="008C2082"/>
    <w:rsid w:val="008C4816"/>
    <w:rsid w:val="008C589F"/>
    <w:rsid w:val="008C5B29"/>
    <w:rsid w:val="008C5B78"/>
    <w:rsid w:val="008C5BB1"/>
    <w:rsid w:val="008C66D2"/>
    <w:rsid w:val="008C67DF"/>
    <w:rsid w:val="008C69E9"/>
    <w:rsid w:val="008D0FAA"/>
    <w:rsid w:val="008D1A23"/>
    <w:rsid w:val="008D2242"/>
    <w:rsid w:val="008D2497"/>
    <w:rsid w:val="008D27ED"/>
    <w:rsid w:val="008D3488"/>
    <w:rsid w:val="008D4C39"/>
    <w:rsid w:val="008D6064"/>
    <w:rsid w:val="008D685A"/>
    <w:rsid w:val="008D6AA3"/>
    <w:rsid w:val="008D6FFE"/>
    <w:rsid w:val="008D7B54"/>
    <w:rsid w:val="008D7F23"/>
    <w:rsid w:val="008E0579"/>
    <w:rsid w:val="008E169A"/>
    <w:rsid w:val="008E1CC1"/>
    <w:rsid w:val="008E2B9C"/>
    <w:rsid w:val="008E2EFC"/>
    <w:rsid w:val="008E2F1B"/>
    <w:rsid w:val="008E332E"/>
    <w:rsid w:val="008E3EC5"/>
    <w:rsid w:val="008E41CA"/>
    <w:rsid w:val="008E45F6"/>
    <w:rsid w:val="008E4B66"/>
    <w:rsid w:val="008E4BCC"/>
    <w:rsid w:val="008E4CB7"/>
    <w:rsid w:val="008E5D3B"/>
    <w:rsid w:val="008E5F8A"/>
    <w:rsid w:val="008E6C8A"/>
    <w:rsid w:val="008E6E29"/>
    <w:rsid w:val="008E75BC"/>
    <w:rsid w:val="008E75DC"/>
    <w:rsid w:val="008F0267"/>
    <w:rsid w:val="008F0F5E"/>
    <w:rsid w:val="008F1470"/>
    <w:rsid w:val="008F2C39"/>
    <w:rsid w:val="008F2E13"/>
    <w:rsid w:val="008F2EDA"/>
    <w:rsid w:val="008F4091"/>
    <w:rsid w:val="008F4133"/>
    <w:rsid w:val="008F4A16"/>
    <w:rsid w:val="008F4DE3"/>
    <w:rsid w:val="008F53C7"/>
    <w:rsid w:val="008F5413"/>
    <w:rsid w:val="008F5D0E"/>
    <w:rsid w:val="008F6112"/>
    <w:rsid w:val="008F62F4"/>
    <w:rsid w:val="0090020F"/>
    <w:rsid w:val="009010B5"/>
    <w:rsid w:val="009010F2"/>
    <w:rsid w:val="00901303"/>
    <w:rsid w:val="00902383"/>
    <w:rsid w:val="00902D53"/>
    <w:rsid w:val="00903A63"/>
    <w:rsid w:val="00903DEA"/>
    <w:rsid w:val="0090447C"/>
    <w:rsid w:val="009045E2"/>
    <w:rsid w:val="00904B4B"/>
    <w:rsid w:val="009050D9"/>
    <w:rsid w:val="009054CF"/>
    <w:rsid w:val="009056D1"/>
    <w:rsid w:val="00905BC5"/>
    <w:rsid w:val="009072A8"/>
    <w:rsid w:val="0091017F"/>
    <w:rsid w:val="00910B6B"/>
    <w:rsid w:val="0091114E"/>
    <w:rsid w:val="00911839"/>
    <w:rsid w:val="00911CB0"/>
    <w:rsid w:val="00911E07"/>
    <w:rsid w:val="009122B6"/>
    <w:rsid w:val="00912E0F"/>
    <w:rsid w:val="009133E1"/>
    <w:rsid w:val="00913615"/>
    <w:rsid w:val="0091414A"/>
    <w:rsid w:val="009144A7"/>
    <w:rsid w:val="00914B0A"/>
    <w:rsid w:val="00914C9A"/>
    <w:rsid w:val="0091506A"/>
    <w:rsid w:val="00915DFE"/>
    <w:rsid w:val="00916EA0"/>
    <w:rsid w:val="00917533"/>
    <w:rsid w:val="0092090A"/>
    <w:rsid w:val="00920A2D"/>
    <w:rsid w:val="00923689"/>
    <w:rsid w:val="00924266"/>
    <w:rsid w:val="009270E9"/>
    <w:rsid w:val="0092711E"/>
    <w:rsid w:val="00927375"/>
    <w:rsid w:val="00931712"/>
    <w:rsid w:val="00932A15"/>
    <w:rsid w:val="0093317E"/>
    <w:rsid w:val="0093379C"/>
    <w:rsid w:val="00933EF8"/>
    <w:rsid w:val="00934EE7"/>
    <w:rsid w:val="00935057"/>
    <w:rsid w:val="009359E1"/>
    <w:rsid w:val="009405E0"/>
    <w:rsid w:val="0094072F"/>
    <w:rsid w:val="009410AA"/>
    <w:rsid w:val="0094201D"/>
    <w:rsid w:val="00942586"/>
    <w:rsid w:val="009446F5"/>
    <w:rsid w:val="00944CB7"/>
    <w:rsid w:val="00945421"/>
    <w:rsid w:val="0094566D"/>
    <w:rsid w:val="00945C47"/>
    <w:rsid w:val="00946225"/>
    <w:rsid w:val="00946349"/>
    <w:rsid w:val="00946640"/>
    <w:rsid w:val="009475F9"/>
    <w:rsid w:val="0095007C"/>
    <w:rsid w:val="00950123"/>
    <w:rsid w:val="00950E3C"/>
    <w:rsid w:val="00950F6C"/>
    <w:rsid w:val="00951692"/>
    <w:rsid w:val="00952A69"/>
    <w:rsid w:val="009534BC"/>
    <w:rsid w:val="00953C67"/>
    <w:rsid w:val="00954746"/>
    <w:rsid w:val="0095500E"/>
    <w:rsid w:val="00955991"/>
    <w:rsid w:val="0095661E"/>
    <w:rsid w:val="00956958"/>
    <w:rsid w:val="00957C0F"/>
    <w:rsid w:val="00957CE4"/>
    <w:rsid w:val="009601ED"/>
    <w:rsid w:val="00960281"/>
    <w:rsid w:val="00961559"/>
    <w:rsid w:val="00961EDE"/>
    <w:rsid w:val="00962ED4"/>
    <w:rsid w:val="00963335"/>
    <w:rsid w:val="00963E98"/>
    <w:rsid w:val="00966792"/>
    <w:rsid w:val="0096680C"/>
    <w:rsid w:val="00966E35"/>
    <w:rsid w:val="00967789"/>
    <w:rsid w:val="00967D59"/>
    <w:rsid w:val="00970D6B"/>
    <w:rsid w:val="009714EF"/>
    <w:rsid w:val="009716B8"/>
    <w:rsid w:val="00971BA9"/>
    <w:rsid w:val="00972070"/>
    <w:rsid w:val="0097281D"/>
    <w:rsid w:val="00972C2A"/>
    <w:rsid w:val="00973A58"/>
    <w:rsid w:val="0097553B"/>
    <w:rsid w:val="00975B66"/>
    <w:rsid w:val="00975BB2"/>
    <w:rsid w:val="00976653"/>
    <w:rsid w:val="009768C2"/>
    <w:rsid w:val="0097720E"/>
    <w:rsid w:val="00980AD3"/>
    <w:rsid w:val="00981079"/>
    <w:rsid w:val="0098180A"/>
    <w:rsid w:val="0098187F"/>
    <w:rsid w:val="00981EFA"/>
    <w:rsid w:val="00982711"/>
    <w:rsid w:val="009827B8"/>
    <w:rsid w:val="00983707"/>
    <w:rsid w:val="009839E5"/>
    <w:rsid w:val="00983F37"/>
    <w:rsid w:val="0098441B"/>
    <w:rsid w:val="0098451C"/>
    <w:rsid w:val="00985B57"/>
    <w:rsid w:val="0098630E"/>
    <w:rsid w:val="0098645A"/>
    <w:rsid w:val="00987276"/>
    <w:rsid w:val="00987A1F"/>
    <w:rsid w:val="00987F84"/>
    <w:rsid w:val="009901CA"/>
    <w:rsid w:val="00990E8D"/>
    <w:rsid w:val="00993473"/>
    <w:rsid w:val="00993E8C"/>
    <w:rsid w:val="00994521"/>
    <w:rsid w:val="00994C2F"/>
    <w:rsid w:val="00995148"/>
    <w:rsid w:val="00996BDA"/>
    <w:rsid w:val="00996CA3"/>
    <w:rsid w:val="0099737E"/>
    <w:rsid w:val="00997959"/>
    <w:rsid w:val="009A1446"/>
    <w:rsid w:val="009A18CF"/>
    <w:rsid w:val="009A1A00"/>
    <w:rsid w:val="009A242E"/>
    <w:rsid w:val="009A27C4"/>
    <w:rsid w:val="009A2A1F"/>
    <w:rsid w:val="009A2EEF"/>
    <w:rsid w:val="009A3333"/>
    <w:rsid w:val="009A3522"/>
    <w:rsid w:val="009A35BA"/>
    <w:rsid w:val="009A35FB"/>
    <w:rsid w:val="009A4A19"/>
    <w:rsid w:val="009A4A99"/>
    <w:rsid w:val="009A55C3"/>
    <w:rsid w:val="009A562C"/>
    <w:rsid w:val="009A5CC1"/>
    <w:rsid w:val="009A6CF0"/>
    <w:rsid w:val="009A6FB9"/>
    <w:rsid w:val="009A7316"/>
    <w:rsid w:val="009A743E"/>
    <w:rsid w:val="009A7560"/>
    <w:rsid w:val="009A7D88"/>
    <w:rsid w:val="009A7FE6"/>
    <w:rsid w:val="009B083A"/>
    <w:rsid w:val="009B20B1"/>
    <w:rsid w:val="009B21A1"/>
    <w:rsid w:val="009B27B6"/>
    <w:rsid w:val="009B2991"/>
    <w:rsid w:val="009B2EDD"/>
    <w:rsid w:val="009B3D72"/>
    <w:rsid w:val="009B4A1F"/>
    <w:rsid w:val="009B50B0"/>
    <w:rsid w:val="009B5143"/>
    <w:rsid w:val="009B549F"/>
    <w:rsid w:val="009B552E"/>
    <w:rsid w:val="009B56A6"/>
    <w:rsid w:val="009B5D28"/>
    <w:rsid w:val="009B72CD"/>
    <w:rsid w:val="009B7464"/>
    <w:rsid w:val="009B7576"/>
    <w:rsid w:val="009B7956"/>
    <w:rsid w:val="009B7B65"/>
    <w:rsid w:val="009C02E3"/>
    <w:rsid w:val="009C03D9"/>
    <w:rsid w:val="009C03E2"/>
    <w:rsid w:val="009C04CE"/>
    <w:rsid w:val="009C09FD"/>
    <w:rsid w:val="009C12D2"/>
    <w:rsid w:val="009C1C3B"/>
    <w:rsid w:val="009C245F"/>
    <w:rsid w:val="009C2D52"/>
    <w:rsid w:val="009C2F95"/>
    <w:rsid w:val="009C3749"/>
    <w:rsid w:val="009C3979"/>
    <w:rsid w:val="009C3A52"/>
    <w:rsid w:val="009C3BF3"/>
    <w:rsid w:val="009C3C8A"/>
    <w:rsid w:val="009C41C8"/>
    <w:rsid w:val="009C423A"/>
    <w:rsid w:val="009C55A3"/>
    <w:rsid w:val="009C5D44"/>
    <w:rsid w:val="009C7707"/>
    <w:rsid w:val="009C7B48"/>
    <w:rsid w:val="009D25EC"/>
    <w:rsid w:val="009D274C"/>
    <w:rsid w:val="009D2B48"/>
    <w:rsid w:val="009D407A"/>
    <w:rsid w:val="009D4832"/>
    <w:rsid w:val="009D4D7F"/>
    <w:rsid w:val="009D550A"/>
    <w:rsid w:val="009D56CF"/>
    <w:rsid w:val="009D6172"/>
    <w:rsid w:val="009D6C5E"/>
    <w:rsid w:val="009D6C90"/>
    <w:rsid w:val="009D700A"/>
    <w:rsid w:val="009E045F"/>
    <w:rsid w:val="009E058A"/>
    <w:rsid w:val="009E0ACD"/>
    <w:rsid w:val="009E1006"/>
    <w:rsid w:val="009E13AC"/>
    <w:rsid w:val="009E183A"/>
    <w:rsid w:val="009E18AE"/>
    <w:rsid w:val="009E1D4B"/>
    <w:rsid w:val="009E303D"/>
    <w:rsid w:val="009E3BFF"/>
    <w:rsid w:val="009E3C8F"/>
    <w:rsid w:val="009E45AA"/>
    <w:rsid w:val="009E4B58"/>
    <w:rsid w:val="009E5660"/>
    <w:rsid w:val="009E5C17"/>
    <w:rsid w:val="009E5C66"/>
    <w:rsid w:val="009E6A83"/>
    <w:rsid w:val="009E72F4"/>
    <w:rsid w:val="009E783F"/>
    <w:rsid w:val="009F072A"/>
    <w:rsid w:val="009F077B"/>
    <w:rsid w:val="009F181C"/>
    <w:rsid w:val="009F1A2A"/>
    <w:rsid w:val="009F261F"/>
    <w:rsid w:val="009F34F1"/>
    <w:rsid w:val="009F379F"/>
    <w:rsid w:val="009F3BD8"/>
    <w:rsid w:val="009F3F7A"/>
    <w:rsid w:val="009F4A3B"/>
    <w:rsid w:val="009F660F"/>
    <w:rsid w:val="009F6781"/>
    <w:rsid w:val="009F6CFF"/>
    <w:rsid w:val="00A00731"/>
    <w:rsid w:val="00A01F36"/>
    <w:rsid w:val="00A023A9"/>
    <w:rsid w:val="00A02905"/>
    <w:rsid w:val="00A036D5"/>
    <w:rsid w:val="00A03865"/>
    <w:rsid w:val="00A041D0"/>
    <w:rsid w:val="00A0447C"/>
    <w:rsid w:val="00A04955"/>
    <w:rsid w:val="00A05D3D"/>
    <w:rsid w:val="00A0604B"/>
    <w:rsid w:val="00A0615E"/>
    <w:rsid w:val="00A06492"/>
    <w:rsid w:val="00A065B9"/>
    <w:rsid w:val="00A06BF6"/>
    <w:rsid w:val="00A07436"/>
    <w:rsid w:val="00A10351"/>
    <w:rsid w:val="00A10E6A"/>
    <w:rsid w:val="00A114B6"/>
    <w:rsid w:val="00A11555"/>
    <w:rsid w:val="00A119BC"/>
    <w:rsid w:val="00A11FE0"/>
    <w:rsid w:val="00A129AB"/>
    <w:rsid w:val="00A1324F"/>
    <w:rsid w:val="00A13D53"/>
    <w:rsid w:val="00A14064"/>
    <w:rsid w:val="00A14DEC"/>
    <w:rsid w:val="00A15198"/>
    <w:rsid w:val="00A1538F"/>
    <w:rsid w:val="00A15395"/>
    <w:rsid w:val="00A15C52"/>
    <w:rsid w:val="00A16052"/>
    <w:rsid w:val="00A16951"/>
    <w:rsid w:val="00A1766F"/>
    <w:rsid w:val="00A17777"/>
    <w:rsid w:val="00A179BC"/>
    <w:rsid w:val="00A17E05"/>
    <w:rsid w:val="00A20DD7"/>
    <w:rsid w:val="00A212F2"/>
    <w:rsid w:val="00A2195F"/>
    <w:rsid w:val="00A21D04"/>
    <w:rsid w:val="00A22D49"/>
    <w:rsid w:val="00A23334"/>
    <w:rsid w:val="00A246DE"/>
    <w:rsid w:val="00A252CA"/>
    <w:rsid w:val="00A25843"/>
    <w:rsid w:val="00A25B5D"/>
    <w:rsid w:val="00A263E9"/>
    <w:rsid w:val="00A2677E"/>
    <w:rsid w:val="00A27568"/>
    <w:rsid w:val="00A276ED"/>
    <w:rsid w:val="00A27B7A"/>
    <w:rsid w:val="00A30B3C"/>
    <w:rsid w:val="00A3169D"/>
    <w:rsid w:val="00A33073"/>
    <w:rsid w:val="00A34905"/>
    <w:rsid w:val="00A36893"/>
    <w:rsid w:val="00A36B9C"/>
    <w:rsid w:val="00A3775D"/>
    <w:rsid w:val="00A40249"/>
    <w:rsid w:val="00A4095F"/>
    <w:rsid w:val="00A4142D"/>
    <w:rsid w:val="00A41D89"/>
    <w:rsid w:val="00A41E76"/>
    <w:rsid w:val="00A43999"/>
    <w:rsid w:val="00A4503B"/>
    <w:rsid w:val="00A451F9"/>
    <w:rsid w:val="00A45768"/>
    <w:rsid w:val="00A46103"/>
    <w:rsid w:val="00A47C9B"/>
    <w:rsid w:val="00A505DD"/>
    <w:rsid w:val="00A5112C"/>
    <w:rsid w:val="00A51975"/>
    <w:rsid w:val="00A52A28"/>
    <w:rsid w:val="00A53E3D"/>
    <w:rsid w:val="00A54270"/>
    <w:rsid w:val="00A544E2"/>
    <w:rsid w:val="00A549B8"/>
    <w:rsid w:val="00A55E99"/>
    <w:rsid w:val="00A566D2"/>
    <w:rsid w:val="00A5736E"/>
    <w:rsid w:val="00A57B7A"/>
    <w:rsid w:val="00A6139E"/>
    <w:rsid w:val="00A61721"/>
    <w:rsid w:val="00A62E43"/>
    <w:rsid w:val="00A637F0"/>
    <w:rsid w:val="00A63D71"/>
    <w:rsid w:val="00A652B2"/>
    <w:rsid w:val="00A6540C"/>
    <w:rsid w:val="00A659B3"/>
    <w:rsid w:val="00A661B0"/>
    <w:rsid w:val="00A66B01"/>
    <w:rsid w:val="00A676A5"/>
    <w:rsid w:val="00A67825"/>
    <w:rsid w:val="00A67F4F"/>
    <w:rsid w:val="00A709AB"/>
    <w:rsid w:val="00A70AF9"/>
    <w:rsid w:val="00A7159F"/>
    <w:rsid w:val="00A71673"/>
    <w:rsid w:val="00A718F4"/>
    <w:rsid w:val="00A719B2"/>
    <w:rsid w:val="00A71E15"/>
    <w:rsid w:val="00A71EF3"/>
    <w:rsid w:val="00A7211C"/>
    <w:rsid w:val="00A72276"/>
    <w:rsid w:val="00A7311F"/>
    <w:rsid w:val="00A73783"/>
    <w:rsid w:val="00A73D4C"/>
    <w:rsid w:val="00A7475D"/>
    <w:rsid w:val="00A7499E"/>
    <w:rsid w:val="00A75D6F"/>
    <w:rsid w:val="00A769DC"/>
    <w:rsid w:val="00A77ED1"/>
    <w:rsid w:val="00A80B0D"/>
    <w:rsid w:val="00A80ECA"/>
    <w:rsid w:val="00A82400"/>
    <w:rsid w:val="00A82AAD"/>
    <w:rsid w:val="00A837FF"/>
    <w:rsid w:val="00A8476D"/>
    <w:rsid w:val="00A85281"/>
    <w:rsid w:val="00A857FB"/>
    <w:rsid w:val="00A85E8E"/>
    <w:rsid w:val="00A86731"/>
    <w:rsid w:val="00A870D1"/>
    <w:rsid w:val="00A87242"/>
    <w:rsid w:val="00A87BDB"/>
    <w:rsid w:val="00A908EF"/>
    <w:rsid w:val="00A92526"/>
    <w:rsid w:val="00A926D8"/>
    <w:rsid w:val="00A929E6"/>
    <w:rsid w:val="00A92DCC"/>
    <w:rsid w:val="00A93297"/>
    <w:rsid w:val="00A9400C"/>
    <w:rsid w:val="00A95128"/>
    <w:rsid w:val="00A95E03"/>
    <w:rsid w:val="00A974B8"/>
    <w:rsid w:val="00A976C4"/>
    <w:rsid w:val="00A97AC2"/>
    <w:rsid w:val="00A97E80"/>
    <w:rsid w:val="00A97F6A"/>
    <w:rsid w:val="00AA3472"/>
    <w:rsid w:val="00AA370E"/>
    <w:rsid w:val="00AA4023"/>
    <w:rsid w:val="00AA4BDA"/>
    <w:rsid w:val="00AA4DA8"/>
    <w:rsid w:val="00AA59C5"/>
    <w:rsid w:val="00AA5EAD"/>
    <w:rsid w:val="00AA672A"/>
    <w:rsid w:val="00AA6F52"/>
    <w:rsid w:val="00AA7894"/>
    <w:rsid w:val="00AB0CFB"/>
    <w:rsid w:val="00AB2537"/>
    <w:rsid w:val="00AB2666"/>
    <w:rsid w:val="00AB340A"/>
    <w:rsid w:val="00AB3832"/>
    <w:rsid w:val="00AB41A9"/>
    <w:rsid w:val="00AB4239"/>
    <w:rsid w:val="00AB4831"/>
    <w:rsid w:val="00AB50A3"/>
    <w:rsid w:val="00AB6679"/>
    <w:rsid w:val="00AB6EC8"/>
    <w:rsid w:val="00AB7B9C"/>
    <w:rsid w:val="00AC0169"/>
    <w:rsid w:val="00AC08E4"/>
    <w:rsid w:val="00AC18E5"/>
    <w:rsid w:val="00AC2374"/>
    <w:rsid w:val="00AC2620"/>
    <w:rsid w:val="00AC27A9"/>
    <w:rsid w:val="00AC29BC"/>
    <w:rsid w:val="00AC4385"/>
    <w:rsid w:val="00AC47E3"/>
    <w:rsid w:val="00AC49ED"/>
    <w:rsid w:val="00AC53E0"/>
    <w:rsid w:val="00AC59D1"/>
    <w:rsid w:val="00AC650C"/>
    <w:rsid w:val="00AC6728"/>
    <w:rsid w:val="00AC6949"/>
    <w:rsid w:val="00AC6D7F"/>
    <w:rsid w:val="00AC6FC1"/>
    <w:rsid w:val="00AC7526"/>
    <w:rsid w:val="00AC7890"/>
    <w:rsid w:val="00AD01ED"/>
    <w:rsid w:val="00AD057F"/>
    <w:rsid w:val="00AD3C9F"/>
    <w:rsid w:val="00AD4E2B"/>
    <w:rsid w:val="00AD5111"/>
    <w:rsid w:val="00AD6320"/>
    <w:rsid w:val="00AD6CDA"/>
    <w:rsid w:val="00AD6EEC"/>
    <w:rsid w:val="00AD72AE"/>
    <w:rsid w:val="00AD7855"/>
    <w:rsid w:val="00AD79A1"/>
    <w:rsid w:val="00AE0259"/>
    <w:rsid w:val="00AE0360"/>
    <w:rsid w:val="00AE0999"/>
    <w:rsid w:val="00AE0A3F"/>
    <w:rsid w:val="00AE0D19"/>
    <w:rsid w:val="00AE0E67"/>
    <w:rsid w:val="00AE163E"/>
    <w:rsid w:val="00AE2D29"/>
    <w:rsid w:val="00AE414C"/>
    <w:rsid w:val="00AE44C7"/>
    <w:rsid w:val="00AE5ECB"/>
    <w:rsid w:val="00AE6375"/>
    <w:rsid w:val="00AE63CE"/>
    <w:rsid w:val="00AE6A4B"/>
    <w:rsid w:val="00AE6E4F"/>
    <w:rsid w:val="00AE7149"/>
    <w:rsid w:val="00AF0527"/>
    <w:rsid w:val="00AF06F0"/>
    <w:rsid w:val="00AF1199"/>
    <w:rsid w:val="00AF1271"/>
    <w:rsid w:val="00AF1C21"/>
    <w:rsid w:val="00AF24D5"/>
    <w:rsid w:val="00AF24DA"/>
    <w:rsid w:val="00AF2561"/>
    <w:rsid w:val="00AF2622"/>
    <w:rsid w:val="00AF45F0"/>
    <w:rsid w:val="00AF4942"/>
    <w:rsid w:val="00AF537C"/>
    <w:rsid w:val="00AF690A"/>
    <w:rsid w:val="00AF7351"/>
    <w:rsid w:val="00AF738C"/>
    <w:rsid w:val="00AF7972"/>
    <w:rsid w:val="00AF7DBA"/>
    <w:rsid w:val="00B00C7D"/>
    <w:rsid w:val="00B00CD4"/>
    <w:rsid w:val="00B01A62"/>
    <w:rsid w:val="00B024CB"/>
    <w:rsid w:val="00B03053"/>
    <w:rsid w:val="00B04785"/>
    <w:rsid w:val="00B04BAE"/>
    <w:rsid w:val="00B065EE"/>
    <w:rsid w:val="00B0669F"/>
    <w:rsid w:val="00B06F5E"/>
    <w:rsid w:val="00B071D5"/>
    <w:rsid w:val="00B076FE"/>
    <w:rsid w:val="00B101DC"/>
    <w:rsid w:val="00B1084A"/>
    <w:rsid w:val="00B11E59"/>
    <w:rsid w:val="00B1264D"/>
    <w:rsid w:val="00B126B2"/>
    <w:rsid w:val="00B12A76"/>
    <w:rsid w:val="00B130CF"/>
    <w:rsid w:val="00B1454A"/>
    <w:rsid w:val="00B167A8"/>
    <w:rsid w:val="00B17711"/>
    <w:rsid w:val="00B17978"/>
    <w:rsid w:val="00B20700"/>
    <w:rsid w:val="00B20F45"/>
    <w:rsid w:val="00B2135A"/>
    <w:rsid w:val="00B213C7"/>
    <w:rsid w:val="00B216F5"/>
    <w:rsid w:val="00B22E11"/>
    <w:rsid w:val="00B22F24"/>
    <w:rsid w:val="00B2320A"/>
    <w:rsid w:val="00B234D3"/>
    <w:rsid w:val="00B23B06"/>
    <w:rsid w:val="00B2421A"/>
    <w:rsid w:val="00B24E90"/>
    <w:rsid w:val="00B2562C"/>
    <w:rsid w:val="00B256F7"/>
    <w:rsid w:val="00B25A9F"/>
    <w:rsid w:val="00B26244"/>
    <w:rsid w:val="00B3066B"/>
    <w:rsid w:val="00B30726"/>
    <w:rsid w:val="00B31109"/>
    <w:rsid w:val="00B31E89"/>
    <w:rsid w:val="00B32198"/>
    <w:rsid w:val="00B32607"/>
    <w:rsid w:val="00B32A7E"/>
    <w:rsid w:val="00B32E87"/>
    <w:rsid w:val="00B333F9"/>
    <w:rsid w:val="00B334B7"/>
    <w:rsid w:val="00B33A06"/>
    <w:rsid w:val="00B33D63"/>
    <w:rsid w:val="00B34D7A"/>
    <w:rsid w:val="00B355DE"/>
    <w:rsid w:val="00B3672B"/>
    <w:rsid w:val="00B36F89"/>
    <w:rsid w:val="00B36FB1"/>
    <w:rsid w:val="00B37052"/>
    <w:rsid w:val="00B3768F"/>
    <w:rsid w:val="00B3770F"/>
    <w:rsid w:val="00B4034A"/>
    <w:rsid w:val="00B406CB"/>
    <w:rsid w:val="00B408AF"/>
    <w:rsid w:val="00B40BA2"/>
    <w:rsid w:val="00B4113D"/>
    <w:rsid w:val="00B411CC"/>
    <w:rsid w:val="00B4187B"/>
    <w:rsid w:val="00B42158"/>
    <w:rsid w:val="00B4300E"/>
    <w:rsid w:val="00B43178"/>
    <w:rsid w:val="00B43319"/>
    <w:rsid w:val="00B43A14"/>
    <w:rsid w:val="00B440D5"/>
    <w:rsid w:val="00B44AAD"/>
    <w:rsid w:val="00B44E65"/>
    <w:rsid w:val="00B45480"/>
    <w:rsid w:val="00B45BDE"/>
    <w:rsid w:val="00B46132"/>
    <w:rsid w:val="00B4662A"/>
    <w:rsid w:val="00B46B93"/>
    <w:rsid w:val="00B47203"/>
    <w:rsid w:val="00B47DF9"/>
    <w:rsid w:val="00B500E6"/>
    <w:rsid w:val="00B501A1"/>
    <w:rsid w:val="00B508DF"/>
    <w:rsid w:val="00B508F9"/>
    <w:rsid w:val="00B51463"/>
    <w:rsid w:val="00B52355"/>
    <w:rsid w:val="00B5285E"/>
    <w:rsid w:val="00B53016"/>
    <w:rsid w:val="00B53488"/>
    <w:rsid w:val="00B5399B"/>
    <w:rsid w:val="00B53BED"/>
    <w:rsid w:val="00B54298"/>
    <w:rsid w:val="00B54FC3"/>
    <w:rsid w:val="00B5550B"/>
    <w:rsid w:val="00B55AAD"/>
    <w:rsid w:val="00B56441"/>
    <w:rsid w:val="00B56DF0"/>
    <w:rsid w:val="00B56F26"/>
    <w:rsid w:val="00B56F41"/>
    <w:rsid w:val="00B57288"/>
    <w:rsid w:val="00B574BA"/>
    <w:rsid w:val="00B5756F"/>
    <w:rsid w:val="00B576E7"/>
    <w:rsid w:val="00B577A6"/>
    <w:rsid w:val="00B57AE6"/>
    <w:rsid w:val="00B60A61"/>
    <w:rsid w:val="00B630D5"/>
    <w:rsid w:val="00B63480"/>
    <w:rsid w:val="00B634FA"/>
    <w:rsid w:val="00B63A81"/>
    <w:rsid w:val="00B63BB8"/>
    <w:rsid w:val="00B65E4A"/>
    <w:rsid w:val="00B6765B"/>
    <w:rsid w:val="00B67EA2"/>
    <w:rsid w:val="00B70381"/>
    <w:rsid w:val="00B703A5"/>
    <w:rsid w:val="00B7070F"/>
    <w:rsid w:val="00B70AF3"/>
    <w:rsid w:val="00B70F4E"/>
    <w:rsid w:val="00B7111F"/>
    <w:rsid w:val="00B72215"/>
    <w:rsid w:val="00B723D3"/>
    <w:rsid w:val="00B73025"/>
    <w:rsid w:val="00B75DE7"/>
    <w:rsid w:val="00B76076"/>
    <w:rsid w:val="00B76078"/>
    <w:rsid w:val="00B761B9"/>
    <w:rsid w:val="00B7680D"/>
    <w:rsid w:val="00B76BF3"/>
    <w:rsid w:val="00B80653"/>
    <w:rsid w:val="00B8080D"/>
    <w:rsid w:val="00B82919"/>
    <w:rsid w:val="00B8297C"/>
    <w:rsid w:val="00B83602"/>
    <w:rsid w:val="00B85ADB"/>
    <w:rsid w:val="00B85D37"/>
    <w:rsid w:val="00B86209"/>
    <w:rsid w:val="00B862ED"/>
    <w:rsid w:val="00B86587"/>
    <w:rsid w:val="00B877DB"/>
    <w:rsid w:val="00B87A74"/>
    <w:rsid w:val="00B87B52"/>
    <w:rsid w:val="00B90F5C"/>
    <w:rsid w:val="00B911C1"/>
    <w:rsid w:val="00B912D7"/>
    <w:rsid w:val="00B917DE"/>
    <w:rsid w:val="00B91B3C"/>
    <w:rsid w:val="00B92F9F"/>
    <w:rsid w:val="00B933AD"/>
    <w:rsid w:val="00B9487D"/>
    <w:rsid w:val="00B95490"/>
    <w:rsid w:val="00B95F1A"/>
    <w:rsid w:val="00B97504"/>
    <w:rsid w:val="00B97D99"/>
    <w:rsid w:val="00BA0481"/>
    <w:rsid w:val="00BA07A4"/>
    <w:rsid w:val="00BA10AC"/>
    <w:rsid w:val="00BA3D16"/>
    <w:rsid w:val="00BA47C7"/>
    <w:rsid w:val="00BA48CA"/>
    <w:rsid w:val="00BA4C94"/>
    <w:rsid w:val="00BA6D41"/>
    <w:rsid w:val="00BA79A3"/>
    <w:rsid w:val="00BB008E"/>
    <w:rsid w:val="00BB0949"/>
    <w:rsid w:val="00BB096D"/>
    <w:rsid w:val="00BB112A"/>
    <w:rsid w:val="00BB1BF0"/>
    <w:rsid w:val="00BB1C60"/>
    <w:rsid w:val="00BB25EA"/>
    <w:rsid w:val="00BB2A73"/>
    <w:rsid w:val="00BB2A8F"/>
    <w:rsid w:val="00BB35E6"/>
    <w:rsid w:val="00BB3901"/>
    <w:rsid w:val="00BB4A4F"/>
    <w:rsid w:val="00BB74C7"/>
    <w:rsid w:val="00BB77F3"/>
    <w:rsid w:val="00BB7C0A"/>
    <w:rsid w:val="00BB7F7E"/>
    <w:rsid w:val="00BC1238"/>
    <w:rsid w:val="00BC14E7"/>
    <w:rsid w:val="00BC1CB2"/>
    <w:rsid w:val="00BC1F5F"/>
    <w:rsid w:val="00BC235C"/>
    <w:rsid w:val="00BC3686"/>
    <w:rsid w:val="00BC40D9"/>
    <w:rsid w:val="00BC47D7"/>
    <w:rsid w:val="00BC4CE6"/>
    <w:rsid w:val="00BC532B"/>
    <w:rsid w:val="00BC5659"/>
    <w:rsid w:val="00BC59DB"/>
    <w:rsid w:val="00BC5DE6"/>
    <w:rsid w:val="00BC600C"/>
    <w:rsid w:val="00BC68C6"/>
    <w:rsid w:val="00BC6C6B"/>
    <w:rsid w:val="00BC78DA"/>
    <w:rsid w:val="00BC7C0D"/>
    <w:rsid w:val="00BD09C9"/>
    <w:rsid w:val="00BD1BF0"/>
    <w:rsid w:val="00BD2026"/>
    <w:rsid w:val="00BD3308"/>
    <w:rsid w:val="00BD38B1"/>
    <w:rsid w:val="00BD3C8D"/>
    <w:rsid w:val="00BD3F74"/>
    <w:rsid w:val="00BD43D0"/>
    <w:rsid w:val="00BD440E"/>
    <w:rsid w:val="00BD45CD"/>
    <w:rsid w:val="00BD50CC"/>
    <w:rsid w:val="00BD50EA"/>
    <w:rsid w:val="00BD553F"/>
    <w:rsid w:val="00BD59D2"/>
    <w:rsid w:val="00BD5CF0"/>
    <w:rsid w:val="00BD6331"/>
    <w:rsid w:val="00BD6624"/>
    <w:rsid w:val="00BD6B8F"/>
    <w:rsid w:val="00BD6FC7"/>
    <w:rsid w:val="00BD729C"/>
    <w:rsid w:val="00BD7894"/>
    <w:rsid w:val="00BE0273"/>
    <w:rsid w:val="00BE31D0"/>
    <w:rsid w:val="00BE4A61"/>
    <w:rsid w:val="00BE4C17"/>
    <w:rsid w:val="00BE5050"/>
    <w:rsid w:val="00BE5EEE"/>
    <w:rsid w:val="00BE63C6"/>
    <w:rsid w:val="00BE6AA3"/>
    <w:rsid w:val="00BE7141"/>
    <w:rsid w:val="00BF0802"/>
    <w:rsid w:val="00BF0EC2"/>
    <w:rsid w:val="00BF13A7"/>
    <w:rsid w:val="00BF1E89"/>
    <w:rsid w:val="00BF2D8B"/>
    <w:rsid w:val="00BF2DF8"/>
    <w:rsid w:val="00BF3D43"/>
    <w:rsid w:val="00BF4205"/>
    <w:rsid w:val="00BF5C1A"/>
    <w:rsid w:val="00BF610B"/>
    <w:rsid w:val="00BF74B3"/>
    <w:rsid w:val="00C00118"/>
    <w:rsid w:val="00C00781"/>
    <w:rsid w:val="00C00B2D"/>
    <w:rsid w:val="00C00EB9"/>
    <w:rsid w:val="00C0106D"/>
    <w:rsid w:val="00C01770"/>
    <w:rsid w:val="00C021F0"/>
    <w:rsid w:val="00C0284B"/>
    <w:rsid w:val="00C02D89"/>
    <w:rsid w:val="00C03437"/>
    <w:rsid w:val="00C03B77"/>
    <w:rsid w:val="00C04193"/>
    <w:rsid w:val="00C0471E"/>
    <w:rsid w:val="00C04C0E"/>
    <w:rsid w:val="00C051AC"/>
    <w:rsid w:val="00C06871"/>
    <w:rsid w:val="00C06FE3"/>
    <w:rsid w:val="00C0721D"/>
    <w:rsid w:val="00C0789A"/>
    <w:rsid w:val="00C07B31"/>
    <w:rsid w:val="00C07C15"/>
    <w:rsid w:val="00C1009D"/>
    <w:rsid w:val="00C10992"/>
    <w:rsid w:val="00C13C85"/>
    <w:rsid w:val="00C13F47"/>
    <w:rsid w:val="00C14F05"/>
    <w:rsid w:val="00C1538B"/>
    <w:rsid w:val="00C153CB"/>
    <w:rsid w:val="00C155EE"/>
    <w:rsid w:val="00C16F49"/>
    <w:rsid w:val="00C174D4"/>
    <w:rsid w:val="00C177F7"/>
    <w:rsid w:val="00C17CD6"/>
    <w:rsid w:val="00C207F9"/>
    <w:rsid w:val="00C2143A"/>
    <w:rsid w:val="00C2295F"/>
    <w:rsid w:val="00C2331D"/>
    <w:rsid w:val="00C2381F"/>
    <w:rsid w:val="00C2410E"/>
    <w:rsid w:val="00C2425B"/>
    <w:rsid w:val="00C24F56"/>
    <w:rsid w:val="00C2582E"/>
    <w:rsid w:val="00C25E39"/>
    <w:rsid w:val="00C25EC8"/>
    <w:rsid w:val="00C26826"/>
    <w:rsid w:val="00C268FC"/>
    <w:rsid w:val="00C26956"/>
    <w:rsid w:val="00C269C2"/>
    <w:rsid w:val="00C271B8"/>
    <w:rsid w:val="00C2774A"/>
    <w:rsid w:val="00C305CF"/>
    <w:rsid w:val="00C3086C"/>
    <w:rsid w:val="00C309D6"/>
    <w:rsid w:val="00C30ACB"/>
    <w:rsid w:val="00C30E84"/>
    <w:rsid w:val="00C3144B"/>
    <w:rsid w:val="00C31CD2"/>
    <w:rsid w:val="00C3248C"/>
    <w:rsid w:val="00C32618"/>
    <w:rsid w:val="00C32D50"/>
    <w:rsid w:val="00C32F0C"/>
    <w:rsid w:val="00C33742"/>
    <w:rsid w:val="00C345D6"/>
    <w:rsid w:val="00C35490"/>
    <w:rsid w:val="00C35A9F"/>
    <w:rsid w:val="00C35F82"/>
    <w:rsid w:val="00C360BB"/>
    <w:rsid w:val="00C363BD"/>
    <w:rsid w:val="00C378E9"/>
    <w:rsid w:val="00C4006A"/>
    <w:rsid w:val="00C400E3"/>
    <w:rsid w:val="00C4084B"/>
    <w:rsid w:val="00C41B80"/>
    <w:rsid w:val="00C42385"/>
    <w:rsid w:val="00C4243E"/>
    <w:rsid w:val="00C43CCA"/>
    <w:rsid w:val="00C43EE3"/>
    <w:rsid w:val="00C4444B"/>
    <w:rsid w:val="00C445BE"/>
    <w:rsid w:val="00C445E9"/>
    <w:rsid w:val="00C447B5"/>
    <w:rsid w:val="00C44841"/>
    <w:rsid w:val="00C45C0A"/>
    <w:rsid w:val="00C46252"/>
    <w:rsid w:val="00C46D4C"/>
    <w:rsid w:val="00C470BF"/>
    <w:rsid w:val="00C4774F"/>
    <w:rsid w:val="00C50071"/>
    <w:rsid w:val="00C5008D"/>
    <w:rsid w:val="00C50602"/>
    <w:rsid w:val="00C51016"/>
    <w:rsid w:val="00C51863"/>
    <w:rsid w:val="00C519F0"/>
    <w:rsid w:val="00C5257A"/>
    <w:rsid w:val="00C532E1"/>
    <w:rsid w:val="00C533A0"/>
    <w:rsid w:val="00C53433"/>
    <w:rsid w:val="00C5377B"/>
    <w:rsid w:val="00C53945"/>
    <w:rsid w:val="00C54072"/>
    <w:rsid w:val="00C546A9"/>
    <w:rsid w:val="00C55566"/>
    <w:rsid w:val="00C55A5F"/>
    <w:rsid w:val="00C55FF8"/>
    <w:rsid w:val="00C567CD"/>
    <w:rsid w:val="00C570D7"/>
    <w:rsid w:val="00C57C2C"/>
    <w:rsid w:val="00C60712"/>
    <w:rsid w:val="00C608FF"/>
    <w:rsid w:val="00C62955"/>
    <w:rsid w:val="00C63AF7"/>
    <w:rsid w:val="00C63E3D"/>
    <w:rsid w:val="00C6517E"/>
    <w:rsid w:val="00C65539"/>
    <w:rsid w:val="00C65A96"/>
    <w:rsid w:val="00C66713"/>
    <w:rsid w:val="00C6697E"/>
    <w:rsid w:val="00C67BD7"/>
    <w:rsid w:val="00C70163"/>
    <w:rsid w:val="00C70CC5"/>
    <w:rsid w:val="00C70E6B"/>
    <w:rsid w:val="00C71394"/>
    <w:rsid w:val="00C72D91"/>
    <w:rsid w:val="00C72DBC"/>
    <w:rsid w:val="00C7428A"/>
    <w:rsid w:val="00C74B9C"/>
    <w:rsid w:val="00C74CE9"/>
    <w:rsid w:val="00C75670"/>
    <w:rsid w:val="00C75918"/>
    <w:rsid w:val="00C75F4E"/>
    <w:rsid w:val="00C768B6"/>
    <w:rsid w:val="00C76D57"/>
    <w:rsid w:val="00C77241"/>
    <w:rsid w:val="00C774D1"/>
    <w:rsid w:val="00C77BAE"/>
    <w:rsid w:val="00C77C41"/>
    <w:rsid w:val="00C80090"/>
    <w:rsid w:val="00C80096"/>
    <w:rsid w:val="00C8017A"/>
    <w:rsid w:val="00C8066E"/>
    <w:rsid w:val="00C80D54"/>
    <w:rsid w:val="00C81125"/>
    <w:rsid w:val="00C82079"/>
    <w:rsid w:val="00C820CD"/>
    <w:rsid w:val="00C821B9"/>
    <w:rsid w:val="00C823C0"/>
    <w:rsid w:val="00C8308E"/>
    <w:rsid w:val="00C83D69"/>
    <w:rsid w:val="00C841D5"/>
    <w:rsid w:val="00C85A01"/>
    <w:rsid w:val="00C8605C"/>
    <w:rsid w:val="00C876C6"/>
    <w:rsid w:val="00C87B3E"/>
    <w:rsid w:val="00C90F9B"/>
    <w:rsid w:val="00C912DD"/>
    <w:rsid w:val="00C91D21"/>
    <w:rsid w:val="00C925BD"/>
    <w:rsid w:val="00C92865"/>
    <w:rsid w:val="00C92BCC"/>
    <w:rsid w:val="00C92FD1"/>
    <w:rsid w:val="00C954F4"/>
    <w:rsid w:val="00C9587F"/>
    <w:rsid w:val="00C9633D"/>
    <w:rsid w:val="00C963A6"/>
    <w:rsid w:val="00C96D32"/>
    <w:rsid w:val="00C97E7E"/>
    <w:rsid w:val="00CA1542"/>
    <w:rsid w:val="00CA1BC2"/>
    <w:rsid w:val="00CA1D94"/>
    <w:rsid w:val="00CA560D"/>
    <w:rsid w:val="00CA5AB5"/>
    <w:rsid w:val="00CA6482"/>
    <w:rsid w:val="00CA6E66"/>
    <w:rsid w:val="00CA79B0"/>
    <w:rsid w:val="00CA7E6A"/>
    <w:rsid w:val="00CA7FA3"/>
    <w:rsid w:val="00CB0193"/>
    <w:rsid w:val="00CB0C84"/>
    <w:rsid w:val="00CB0DE0"/>
    <w:rsid w:val="00CB1398"/>
    <w:rsid w:val="00CB13A3"/>
    <w:rsid w:val="00CB15D2"/>
    <w:rsid w:val="00CB1E3B"/>
    <w:rsid w:val="00CB2F80"/>
    <w:rsid w:val="00CB38BB"/>
    <w:rsid w:val="00CB3A8C"/>
    <w:rsid w:val="00CB4CEE"/>
    <w:rsid w:val="00CB5694"/>
    <w:rsid w:val="00CB5853"/>
    <w:rsid w:val="00CB5EC1"/>
    <w:rsid w:val="00CB6C0B"/>
    <w:rsid w:val="00CB7242"/>
    <w:rsid w:val="00CC067D"/>
    <w:rsid w:val="00CC0B85"/>
    <w:rsid w:val="00CC0E36"/>
    <w:rsid w:val="00CC1186"/>
    <w:rsid w:val="00CC13DE"/>
    <w:rsid w:val="00CC262C"/>
    <w:rsid w:val="00CC29C3"/>
    <w:rsid w:val="00CC2CDD"/>
    <w:rsid w:val="00CC47C2"/>
    <w:rsid w:val="00CC4DE1"/>
    <w:rsid w:val="00CC532A"/>
    <w:rsid w:val="00CC6678"/>
    <w:rsid w:val="00CD010F"/>
    <w:rsid w:val="00CD061D"/>
    <w:rsid w:val="00CD06AB"/>
    <w:rsid w:val="00CD0DE9"/>
    <w:rsid w:val="00CD1B21"/>
    <w:rsid w:val="00CD2507"/>
    <w:rsid w:val="00CD345B"/>
    <w:rsid w:val="00CD3485"/>
    <w:rsid w:val="00CD4F09"/>
    <w:rsid w:val="00CD590F"/>
    <w:rsid w:val="00CD5A06"/>
    <w:rsid w:val="00CD747F"/>
    <w:rsid w:val="00CD751D"/>
    <w:rsid w:val="00CE0D1E"/>
    <w:rsid w:val="00CE18AE"/>
    <w:rsid w:val="00CE31F7"/>
    <w:rsid w:val="00CE332A"/>
    <w:rsid w:val="00CE3645"/>
    <w:rsid w:val="00CE3E80"/>
    <w:rsid w:val="00CE4826"/>
    <w:rsid w:val="00CE4A26"/>
    <w:rsid w:val="00CE5610"/>
    <w:rsid w:val="00CE5CC5"/>
    <w:rsid w:val="00CE5D04"/>
    <w:rsid w:val="00CE5DEB"/>
    <w:rsid w:val="00CE6C61"/>
    <w:rsid w:val="00CF04AF"/>
    <w:rsid w:val="00CF0BBA"/>
    <w:rsid w:val="00CF0C03"/>
    <w:rsid w:val="00CF0F88"/>
    <w:rsid w:val="00CF1D59"/>
    <w:rsid w:val="00CF1D6D"/>
    <w:rsid w:val="00CF358F"/>
    <w:rsid w:val="00CF39B0"/>
    <w:rsid w:val="00CF3A56"/>
    <w:rsid w:val="00CF3E55"/>
    <w:rsid w:val="00CF3F0B"/>
    <w:rsid w:val="00CF53D2"/>
    <w:rsid w:val="00CF57B9"/>
    <w:rsid w:val="00CF5A14"/>
    <w:rsid w:val="00CF6A9F"/>
    <w:rsid w:val="00CF6AAB"/>
    <w:rsid w:val="00CF7BD2"/>
    <w:rsid w:val="00CF7E15"/>
    <w:rsid w:val="00CF7EFB"/>
    <w:rsid w:val="00D002CB"/>
    <w:rsid w:val="00D0098E"/>
    <w:rsid w:val="00D00EA6"/>
    <w:rsid w:val="00D00F04"/>
    <w:rsid w:val="00D011E8"/>
    <w:rsid w:val="00D011FC"/>
    <w:rsid w:val="00D01417"/>
    <w:rsid w:val="00D0194F"/>
    <w:rsid w:val="00D0204C"/>
    <w:rsid w:val="00D021FF"/>
    <w:rsid w:val="00D02700"/>
    <w:rsid w:val="00D03546"/>
    <w:rsid w:val="00D03FA7"/>
    <w:rsid w:val="00D04477"/>
    <w:rsid w:val="00D04624"/>
    <w:rsid w:val="00D0514A"/>
    <w:rsid w:val="00D05CA9"/>
    <w:rsid w:val="00D0642C"/>
    <w:rsid w:val="00D07238"/>
    <w:rsid w:val="00D0780F"/>
    <w:rsid w:val="00D07D4D"/>
    <w:rsid w:val="00D12C9B"/>
    <w:rsid w:val="00D13628"/>
    <w:rsid w:val="00D137DC"/>
    <w:rsid w:val="00D13BA5"/>
    <w:rsid w:val="00D13BFC"/>
    <w:rsid w:val="00D1653A"/>
    <w:rsid w:val="00D1678E"/>
    <w:rsid w:val="00D17B78"/>
    <w:rsid w:val="00D17F6C"/>
    <w:rsid w:val="00D202CE"/>
    <w:rsid w:val="00D209E9"/>
    <w:rsid w:val="00D20F80"/>
    <w:rsid w:val="00D2196A"/>
    <w:rsid w:val="00D21C7C"/>
    <w:rsid w:val="00D21D75"/>
    <w:rsid w:val="00D21DBF"/>
    <w:rsid w:val="00D2256F"/>
    <w:rsid w:val="00D22856"/>
    <w:rsid w:val="00D2392B"/>
    <w:rsid w:val="00D249C8"/>
    <w:rsid w:val="00D24E03"/>
    <w:rsid w:val="00D25448"/>
    <w:rsid w:val="00D257B2"/>
    <w:rsid w:val="00D25B4F"/>
    <w:rsid w:val="00D26238"/>
    <w:rsid w:val="00D26C6E"/>
    <w:rsid w:val="00D270E3"/>
    <w:rsid w:val="00D276D8"/>
    <w:rsid w:val="00D31349"/>
    <w:rsid w:val="00D321FE"/>
    <w:rsid w:val="00D3230E"/>
    <w:rsid w:val="00D34243"/>
    <w:rsid w:val="00D34B81"/>
    <w:rsid w:val="00D34FE6"/>
    <w:rsid w:val="00D359D3"/>
    <w:rsid w:val="00D36356"/>
    <w:rsid w:val="00D37666"/>
    <w:rsid w:val="00D376BA"/>
    <w:rsid w:val="00D40458"/>
    <w:rsid w:val="00D41A09"/>
    <w:rsid w:val="00D42354"/>
    <w:rsid w:val="00D44010"/>
    <w:rsid w:val="00D44266"/>
    <w:rsid w:val="00D451DA"/>
    <w:rsid w:val="00D456DF"/>
    <w:rsid w:val="00D465A0"/>
    <w:rsid w:val="00D46872"/>
    <w:rsid w:val="00D4741A"/>
    <w:rsid w:val="00D4762D"/>
    <w:rsid w:val="00D47800"/>
    <w:rsid w:val="00D47F20"/>
    <w:rsid w:val="00D51866"/>
    <w:rsid w:val="00D52FBC"/>
    <w:rsid w:val="00D5302C"/>
    <w:rsid w:val="00D5362A"/>
    <w:rsid w:val="00D53E4D"/>
    <w:rsid w:val="00D547B2"/>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2257"/>
    <w:rsid w:val="00D63294"/>
    <w:rsid w:val="00D6389D"/>
    <w:rsid w:val="00D63BD6"/>
    <w:rsid w:val="00D64198"/>
    <w:rsid w:val="00D642FB"/>
    <w:rsid w:val="00D649BC"/>
    <w:rsid w:val="00D65018"/>
    <w:rsid w:val="00D6550F"/>
    <w:rsid w:val="00D65705"/>
    <w:rsid w:val="00D659E5"/>
    <w:rsid w:val="00D66634"/>
    <w:rsid w:val="00D71398"/>
    <w:rsid w:val="00D71682"/>
    <w:rsid w:val="00D71A3D"/>
    <w:rsid w:val="00D71B1F"/>
    <w:rsid w:val="00D733CD"/>
    <w:rsid w:val="00D73711"/>
    <w:rsid w:val="00D73B19"/>
    <w:rsid w:val="00D73F80"/>
    <w:rsid w:val="00D74161"/>
    <w:rsid w:val="00D74CAD"/>
    <w:rsid w:val="00D74FBB"/>
    <w:rsid w:val="00D7639E"/>
    <w:rsid w:val="00D7650A"/>
    <w:rsid w:val="00D769A2"/>
    <w:rsid w:val="00D8137B"/>
    <w:rsid w:val="00D813B3"/>
    <w:rsid w:val="00D81A72"/>
    <w:rsid w:val="00D81D47"/>
    <w:rsid w:val="00D81F7B"/>
    <w:rsid w:val="00D825FD"/>
    <w:rsid w:val="00D82F6B"/>
    <w:rsid w:val="00D83017"/>
    <w:rsid w:val="00D84291"/>
    <w:rsid w:val="00D84413"/>
    <w:rsid w:val="00D84591"/>
    <w:rsid w:val="00D84791"/>
    <w:rsid w:val="00D85E65"/>
    <w:rsid w:val="00D86978"/>
    <w:rsid w:val="00D86F9A"/>
    <w:rsid w:val="00D9039D"/>
    <w:rsid w:val="00D90C7D"/>
    <w:rsid w:val="00D90F8D"/>
    <w:rsid w:val="00D910B8"/>
    <w:rsid w:val="00D91693"/>
    <w:rsid w:val="00D91CCD"/>
    <w:rsid w:val="00D91E73"/>
    <w:rsid w:val="00D93C5A"/>
    <w:rsid w:val="00D9423D"/>
    <w:rsid w:val="00D9461A"/>
    <w:rsid w:val="00D94AC1"/>
    <w:rsid w:val="00D94FFF"/>
    <w:rsid w:val="00D95979"/>
    <w:rsid w:val="00D96365"/>
    <w:rsid w:val="00D97728"/>
    <w:rsid w:val="00D97AD7"/>
    <w:rsid w:val="00D97C04"/>
    <w:rsid w:val="00D97EE2"/>
    <w:rsid w:val="00DA16EE"/>
    <w:rsid w:val="00DA1DCD"/>
    <w:rsid w:val="00DA243A"/>
    <w:rsid w:val="00DA2BCC"/>
    <w:rsid w:val="00DA33DC"/>
    <w:rsid w:val="00DA39FE"/>
    <w:rsid w:val="00DA412E"/>
    <w:rsid w:val="00DA4EB3"/>
    <w:rsid w:val="00DA4EF4"/>
    <w:rsid w:val="00DA50E5"/>
    <w:rsid w:val="00DA547B"/>
    <w:rsid w:val="00DA5949"/>
    <w:rsid w:val="00DA597F"/>
    <w:rsid w:val="00DA5D18"/>
    <w:rsid w:val="00DA5DCA"/>
    <w:rsid w:val="00DA6B2E"/>
    <w:rsid w:val="00DA6DB1"/>
    <w:rsid w:val="00DA6FF2"/>
    <w:rsid w:val="00DA7567"/>
    <w:rsid w:val="00DB1B10"/>
    <w:rsid w:val="00DB1DF5"/>
    <w:rsid w:val="00DB2158"/>
    <w:rsid w:val="00DB2A21"/>
    <w:rsid w:val="00DB2D00"/>
    <w:rsid w:val="00DB324F"/>
    <w:rsid w:val="00DB3BB1"/>
    <w:rsid w:val="00DB42A5"/>
    <w:rsid w:val="00DB45E2"/>
    <w:rsid w:val="00DB4DFA"/>
    <w:rsid w:val="00DB51F6"/>
    <w:rsid w:val="00DB67CB"/>
    <w:rsid w:val="00DB7DFE"/>
    <w:rsid w:val="00DC0657"/>
    <w:rsid w:val="00DC0EC2"/>
    <w:rsid w:val="00DC0FA7"/>
    <w:rsid w:val="00DC1611"/>
    <w:rsid w:val="00DC2D5A"/>
    <w:rsid w:val="00DC2FF5"/>
    <w:rsid w:val="00DC331F"/>
    <w:rsid w:val="00DC3F01"/>
    <w:rsid w:val="00DC5E1E"/>
    <w:rsid w:val="00DC6531"/>
    <w:rsid w:val="00DC6577"/>
    <w:rsid w:val="00DC684A"/>
    <w:rsid w:val="00DC6E74"/>
    <w:rsid w:val="00DC7714"/>
    <w:rsid w:val="00DC7FF3"/>
    <w:rsid w:val="00DD0323"/>
    <w:rsid w:val="00DD0811"/>
    <w:rsid w:val="00DD0A5D"/>
    <w:rsid w:val="00DD0D02"/>
    <w:rsid w:val="00DD0D21"/>
    <w:rsid w:val="00DD0E97"/>
    <w:rsid w:val="00DD25CB"/>
    <w:rsid w:val="00DD2A43"/>
    <w:rsid w:val="00DD4A4F"/>
    <w:rsid w:val="00DD5EF8"/>
    <w:rsid w:val="00DD5FBE"/>
    <w:rsid w:val="00DD63EE"/>
    <w:rsid w:val="00DD67D6"/>
    <w:rsid w:val="00DD69DB"/>
    <w:rsid w:val="00DD6CAF"/>
    <w:rsid w:val="00DD7419"/>
    <w:rsid w:val="00DD76E1"/>
    <w:rsid w:val="00DE0771"/>
    <w:rsid w:val="00DE0E1B"/>
    <w:rsid w:val="00DE14E2"/>
    <w:rsid w:val="00DE1997"/>
    <w:rsid w:val="00DE1A38"/>
    <w:rsid w:val="00DE2318"/>
    <w:rsid w:val="00DE2CBB"/>
    <w:rsid w:val="00DE39F5"/>
    <w:rsid w:val="00DE41D7"/>
    <w:rsid w:val="00DE5802"/>
    <w:rsid w:val="00DE5DB7"/>
    <w:rsid w:val="00DE6792"/>
    <w:rsid w:val="00DE6969"/>
    <w:rsid w:val="00DF16A2"/>
    <w:rsid w:val="00DF1C6A"/>
    <w:rsid w:val="00DF24D2"/>
    <w:rsid w:val="00DF28EC"/>
    <w:rsid w:val="00DF2BF3"/>
    <w:rsid w:val="00DF2DFA"/>
    <w:rsid w:val="00DF317D"/>
    <w:rsid w:val="00DF3231"/>
    <w:rsid w:val="00DF493A"/>
    <w:rsid w:val="00DF4951"/>
    <w:rsid w:val="00DF4A19"/>
    <w:rsid w:val="00DF580A"/>
    <w:rsid w:val="00DF6787"/>
    <w:rsid w:val="00DF7685"/>
    <w:rsid w:val="00E002B9"/>
    <w:rsid w:val="00E00D43"/>
    <w:rsid w:val="00E01E42"/>
    <w:rsid w:val="00E020A3"/>
    <w:rsid w:val="00E02685"/>
    <w:rsid w:val="00E0286B"/>
    <w:rsid w:val="00E02A7D"/>
    <w:rsid w:val="00E0385A"/>
    <w:rsid w:val="00E0403E"/>
    <w:rsid w:val="00E04D0D"/>
    <w:rsid w:val="00E0523A"/>
    <w:rsid w:val="00E053C3"/>
    <w:rsid w:val="00E06465"/>
    <w:rsid w:val="00E06A20"/>
    <w:rsid w:val="00E06CF4"/>
    <w:rsid w:val="00E07944"/>
    <w:rsid w:val="00E07BF7"/>
    <w:rsid w:val="00E10487"/>
    <w:rsid w:val="00E106B7"/>
    <w:rsid w:val="00E1094C"/>
    <w:rsid w:val="00E111B3"/>
    <w:rsid w:val="00E11A2C"/>
    <w:rsid w:val="00E11A68"/>
    <w:rsid w:val="00E11B7A"/>
    <w:rsid w:val="00E1304D"/>
    <w:rsid w:val="00E1339F"/>
    <w:rsid w:val="00E13471"/>
    <w:rsid w:val="00E13841"/>
    <w:rsid w:val="00E13AFA"/>
    <w:rsid w:val="00E13BCB"/>
    <w:rsid w:val="00E13D25"/>
    <w:rsid w:val="00E14BA4"/>
    <w:rsid w:val="00E15069"/>
    <w:rsid w:val="00E16554"/>
    <w:rsid w:val="00E16AE7"/>
    <w:rsid w:val="00E16EB0"/>
    <w:rsid w:val="00E17375"/>
    <w:rsid w:val="00E174C7"/>
    <w:rsid w:val="00E1764F"/>
    <w:rsid w:val="00E17E9D"/>
    <w:rsid w:val="00E200BC"/>
    <w:rsid w:val="00E20DEC"/>
    <w:rsid w:val="00E21132"/>
    <w:rsid w:val="00E21830"/>
    <w:rsid w:val="00E21846"/>
    <w:rsid w:val="00E21BCF"/>
    <w:rsid w:val="00E2220A"/>
    <w:rsid w:val="00E2284B"/>
    <w:rsid w:val="00E22F1E"/>
    <w:rsid w:val="00E23F4C"/>
    <w:rsid w:val="00E24C8F"/>
    <w:rsid w:val="00E24E78"/>
    <w:rsid w:val="00E2535E"/>
    <w:rsid w:val="00E25731"/>
    <w:rsid w:val="00E2661D"/>
    <w:rsid w:val="00E2668B"/>
    <w:rsid w:val="00E26A1E"/>
    <w:rsid w:val="00E27865"/>
    <w:rsid w:val="00E27DDF"/>
    <w:rsid w:val="00E308AF"/>
    <w:rsid w:val="00E31805"/>
    <w:rsid w:val="00E31CEF"/>
    <w:rsid w:val="00E320BA"/>
    <w:rsid w:val="00E32790"/>
    <w:rsid w:val="00E32C3C"/>
    <w:rsid w:val="00E32DC6"/>
    <w:rsid w:val="00E33922"/>
    <w:rsid w:val="00E3447C"/>
    <w:rsid w:val="00E34DA2"/>
    <w:rsid w:val="00E355D4"/>
    <w:rsid w:val="00E36E6B"/>
    <w:rsid w:val="00E3770E"/>
    <w:rsid w:val="00E37B10"/>
    <w:rsid w:val="00E40B67"/>
    <w:rsid w:val="00E41271"/>
    <w:rsid w:val="00E416DC"/>
    <w:rsid w:val="00E41C73"/>
    <w:rsid w:val="00E41FDA"/>
    <w:rsid w:val="00E434E2"/>
    <w:rsid w:val="00E43F71"/>
    <w:rsid w:val="00E44481"/>
    <w:rsid w:val="00E4464D"/>
    <w:rsid w:val="00E4488C"/>
    <w:rsid w:val="00E44F40"/>
    <w:rsid w:val="00E45133"/>
    <w:rsid w:val="00E4535B"/>
    <w:rsid w:val="00E45427"/>
    <w:rsid w:val="00E474B1"/>
    <w:rsid w:val="00E475D1"/>
    <w:rsid w:val="00E47985"/>
    <w:rsid w:val="00E47EBF"/>
    <w:rsid w:val="00E50086"/>
    <w:rsid w:val="00E50B28"/>
    <w:rsid w:val="00E514B3"/>
    <w:rsid w:val="00E53047"/>
    <w:rsid w:val="00E538A9"/>
    <w:rsid w:val="00E54A8B"/>
    <w:rsid w:val="00E5553D"/>
    <w:rsid w:val="00E5607D"/>
    <w:rsid w:val="00E563E6"/>
    <w:rsid w:val="00E564AE"/>
    <w:rsid w:val="00E57348"/>
    <w:rsid w:val="00E57562"/>
    <w:rsid w:val="00E575B1"/>
    <w:rsid w:val="00E57BC7"/>
    <w:rsid w:val="00E60466"/>
    <w:rsid w:val="00E61B1A"/>
    <w:rsid w:val="00E6212D"/>
    <w:rsid w:val="00E629CA"/>
    <w:rsid w:val="00E62ADB"/>
    <w:rsid w:val="00E630F1"/>
    <w:rsid w:val="00E63303"/>
    <w:rsid w:val="00E63C0C"/>
    <w:rsid w:val="00E640D4"/>
    <w:rsid w:val="00E641B4"/>
    <w:rsid w:val="00E64213"/>
    <w:rsid w:val="00E64E94"/>
    <w:rsid w:val="00E64FA3"/>
    <w:rsid w:val="00E65A89"/>
    <w:rsid w:val="00E662CF"/>
    <w:rsid w:val="00E6670C"/>
    <w:rsid w:val="00E66859"/>
    <w:rsid w:val="00E66E4A"/>
    <w:rsid w:val="00E6728B"/>
    <w:rsid w:val="00E6741B"/>
    <w:rsid w:val="00E678E9"/>
    <w:rsid w:val="00E679CC"/>
    <w:rsid w:val="00E709C4"/>
    <w:rsid w:val="00E70CD5"/>
    <w:rsid w:val="00E71877"/>
    <w:rsid w:val="00E718C0"/>
    <w:rsid w:val="00E72553"/>
    <w:rsid w:val="00E7332D"/>
    <w:rsid w:val="00E74705"/>
    <w:rsid w:val="00E74EFC"/>
    <w:rsid w:val="00E751B2"/>
    <w:rsid w:val="00E75349"/>
    <w:rsid w:val="00E76038"/>
    <w:rsid w:val="00E7682D"/>
    <w:rsid w:val="00E76C80"/>
    <w:rsid w:val="00E76F24"/>
    <w:rsid w:val="00E775CD"/>
    <w:rsid w:val="00E77619"/>
    <w:rsid w:val="00E8041A"/>
    <w:rsid w:val="00E8068F"/>
    <w:rsid w:val="00E806FA"/>
    <w:rsid w:val="00E80B03"/>
    <w:rsid w:val="00E817DD"/>
    <w:rsid w:val="00E8215B"/>
    <w:rsid w:val="00E82596"/>
    <w:rsid w:val="00E82C7C"/>
    <w:rsid w:val="00E8338A"/>
    <w:rsid w:val="00E838D3"/>
    <w:rsid w:val="00E83E93"/>
    <w:rsid w:val="00E83ED8"/>
    <w:rsid w:val="00E83F98"/>
    <w:rsid w:val="00E84CFD"/>
    <w:rsid w:val="00E85414"/>
    <w:rsid w:val="00E856AA"/>
    <w:rsid w:val="00E865D5"/>
    <w:rsid w:val="00E8672A"/>
    <w:rsid w:val="00E869A1"/>
    <w:rsid w:val="00E86FC0"/>
    <w:rsid w:val="00E87961"/>
    <w:rsid w:val="00E91E40"/>
    <w:rsid w:val="00E92D88"/>
    <w:rsid w:val="00E9344C"/>
    <w:rsid w:val="00E93D77"/>
    <w:rsid w:val="00E942FA"/>
    <w:rsid w:val="00E95A4A"/>
    <w:rsid w:val="00E960E7"/>
    <w:rsid w:val="00E96953"/>
    <w:rsid w:val="00E97A81"/>
    <w:rsid w:val="00E97E55"/>
    <w:rsid w:val="00EA090D"/>
    <w:rsid w:val="00EA0A84"/>
    <w:rsid w:val="00EA0C9F"/>
    <w:rsid w:val="00EA0FB5"/>
    <w:rsid w:val="00EA157E"/>
    <w:rsid w:val="00EA2EE2"/>
    <w:rsid w:val="00EA32C8"/>
    <w:rsid w:val="00EA37BF"/>
    <w:rsid w:val="00EA3875"/>
    <w:rsid w:val="00EA516F"/>
    <w:rsid w:val="00EA7060"/>
    <w:rsid w:val="00EB3B08"/>
    <w:rsid w:val="00EB5A26"/>
    <w:rsid w:val="00EB6261"/>
    <w:rsid w:val="00EB67F4"/>
    <w:rsid w:val="00EB703C"/>
    <w:rsid w:val="00EB7198"/>
    <w:rsid w:val="00EB73E1"/>
    <w:rsid w:val="00EB74D9"/>
    <w:rsid w:val="00EB775E"/>
    <w:rsid w:val="00EC06ED"/>
    <w:rsid w:val="00EC0A77"/>
    <w:rsid w:val="00EC0D04"/>
    <w:rsid w:val="00EC27D1"/>
    <w:rsid w:val="00EC31C1"/>
    <w:rsid w:val="00EC3845"/>
    <w:rsid w:val="00EC3D16"/>
    <w:rsid w:val="00EC44B6"/>
    <w:rsid w:val="00EC46F9"/>
    <w:rsid w:val="00EC5C7B"/>
    <w:rsid w:val="00EC6102"/>
    <w:rsid w:val="00EC6B7F"/>
    <w:rsid w:val="00ED036B"/>
    <w:rsid w:val="00ED0B6F"/>
    <w:rsid w:val="00ED140F"/>
    <w:rsid w:val="00ED1FB5"/>
    <w:rsid w:val="00ED20D3"/>
    <w:rsid w:val="00ED2849"/>
    <w:rsid w:val="00ED30FD"/>
    <w:rsid w:val="00ED418D"/>
    <w:rsid w:val="00ED5945"/>
    <w:rsid w:val="00ED6B11"/>
    <w:rsid w:val="00ED6F50"/>
    <w:rsid w:val="00ED6FDA"/>
    <w:rsid w:val="00ED7009"/>
    <w:rsid w:val="00ED74E8"/>
    <w:rsid w:val="00ED7D73"/>
    <w:rsid w:val="00EE0F22"/>
    <w:rsid w:val="00EE1218"/>
    <w:rsid w:val="00EE1D99"/>
    <w:rsid w:val="00EE3057"/>
    <w:rsid w:val="00EE46E8"/>
    <w:rsid w:val="00EE4A34"/>
    <w:rsid w:val="00EE513A"/>
    <w:rsid w:val="00EE5CC5"/>
    <w:rsid w:val="00EE610E"/>
    <w:rsid w:val="00EE61BC"/>
    <w:rsid w:val="00EE61FE"/>
    <w:rsid w:val="00EE631A"/>
    <w:rsid w:val="00EE6A87"/>
    <w:rsid w:val="00EE79DC"/>
    <w:rsid w:val="00EE7FBF"/>
    <w:rsid w:val="00EF044C"/>
    <w:rsid w:val="00EF04F9"/>
    <w:rsid w:val="00EF06C8"/>
    <w:rsid w:val="00EF0E9D"/>
    <w:rsid w:val="00EF1323"/>
    <w:rsid w:val="00EF2EEE"/>
    <w:rsid w:val="00EF422B"/>
    <w:rsid w:val="00EF4368"/>
    <w:rsid w:val="00EF4B95"/>
    <w:rsid w:val="00EF4DC4"/>
    <w:rsid w:val="00EF714F"/>
    <w:rsid w:val="00EF77D2"/>
    <w:rsid w:val="00F003F2"/>
    <w:rsid w:val="00F008AA"/>
    <w:rsid w:val="00F00A8C"/>
    <w:rsid w:val="00F010AC"/>
    <w:rsid w:val="00F0159A"/>
    <w:rsid w:val="00F01656"/>
    <w:rsid w:val="00F01777"/>
    <w:rsid w:val="00F01F40"/>
    <w:rsid w:val="00F02F17"/>
    <w:rsid w:val="00F03089"/>
    <w:rsid w:val="00F03162"/>
    <w:rsid w:val="00F04321"/>
    <w:rsid w:val="00F0440B"/>
    <w:rsid w:val="00F048E0"/>
    <w:rsid w:val="00F0496B"/>
    <w:rsid w:val="00F04EE7"/>
    <w:rsid w:val="00F05AB9"/>
    <w:rsid w:val="00F06488"/>
    <w:rsid w:val="00F067F7"/>
    <w:rsid w:val="00F06EAB"/>
    <w:rsid w:val="00F074BA"/>
    <w:rsid w:val="00F07909"/>
    <w:rsid w:val="00F07E0C"/>
    <w:rsid w:val="00F10905"/>
    <w:rsid w:val="00F11278"/>
    <w:rsid w:val="00F11535"/>
    <w:rsid w:val="00F116F4"/>
    <w:rsid w:val="00F11840"/>
    <w:rsid w:val="00F11869"/>
    <w:rsid w:val="00F12244"/>
    <w:rsid w:val="00F13461"/>
    <w:rsid w:val="00F136D8"/>
    <w:rsid w:val="00F13A39"/>
    <w:rsid w:val="00F13D5F"/>
    <w:rsid w:val="00F13DD0"/>
    <w:rsid w:val="00F1572E"/>
    <w:rsid w:val="00F15877"/>
    <w:rsid w:val="00F15C6E"/>
    <w:rsid w:val="00F15E4E"/>
    <w:rsid w:val="00F16286"/>
    <w:rsid w:val="00F16D1B"/>
    <w:rsid w:val="00F17370"/>
    <w:rsid w:val="00F176E6"/>
    <w:rsid w:val="00F2007E"/>
    <w:rsid w:val="00F204AC"/>
    <w:rsid w:val="00F20A11"/>
    <w:rsid w:val="00F20D2D"/>
    <w:rsid w:val="00F218CD"/>
    <w:rsid w:val="00F21A12"/>
    <w:rsid w:val="00F21B01"/>
    <w:rsid w:val="00F21D7D"/>
    <w:rsid w:val="00F23FFC"/>
    <w:rsid w:val="00F240E1"/>
    <w:rsid w:val="00F241EC"/>
    <w:rsid w:val="00F243B9"/>
    <w:rsid w:val="00F243E1"/>
    <w:rsid w:val="00F24594"/>
    <w:rsid w:val="00F24777"/>
    <w:rsid w:val="00F24CBA"/>
    <w:rsid w:val="00F24EF0"/>
    <w:rsid w:val="00F269B0"/>
    <w:rsid w:val="00F27125"/>
    <w:rsid w:val="00F2763A"/>
    <w:rsid w:val="00F27801"/>
    <w:rsid w:val="00F27A80"/>
    <w:rsid w:val="00F30145"/>
    <w:rsid w:val="00F3085A"/>
    <w:rsid w:val="00F30BF3"/>
    <w:rsid w:val="00F32C6F"/>
    <w:rsid w:val="00F32E67"/>
    <w:rsid w:val="00F3341D"/>
    <w:rsid w:val="00F3356F"/>
    <w:rsid w:val="00F336E4"/>
    <w:rsid w:val="00F336F3"/>
    <w:rsid w:val="00F33A77"/>
    <w:rsid w:val="00F347AC"/>
    <w:rsid w:val="00F355B5"/>
    <w:rsid w:val="00F3565D"/>
    <w:rsid w:val="00F3685C"/>
    <w:rsid w:val="00F36CC9"/>
    <w:rsid w:val="00F36E5E"/>
    <w:rsid w:val="00F37F55"/>
    <w:rsid w:val="00F41A83"/>
    <w:rsid w:val="00F4225E"/>
    <w:rsid w:val="00F42501"/>
    <w:rsid w:val="00F42889"/>
    <w:rsid w:val="00F43850"/>
    <w:rsid w:val="00F44D49"/>
    <w:rsid w:val="00F45CEB"/>
    <w:rsid w:val="00F46691"/>
    <w:rsid w:val="00F467A3"/>
    <w:rsid w:val="00F46EA1"/>
    <w:rsid w:val="00F47434"/>
    <w:rsid w:val="00F47C00"/>
    <w:rsid w:val="00F502D9"/>
    <w:rsid w:val="00F50E13"/>
    <w:rsid w:val="00F50FCC"/>
    <w:rsid w:val="00F51410"/>
    <w:rsid w:val="00F5218C"/>
    <w:rsid w:val="00F535D2"/>
    <w:rsid w:val="00F542C2"/>
    <w:rsid w:val="00F54790"/>
    <w:rsid w:val="00F54DF6"/>
    <w:rsid w:val="00F56939"/>
    <w:rsid w:val="00F579C5"/>
    <w:rsid w:val="00F57BEF"/>
    <w:rsid w:val="00F606EF"/>
    <w:rsid w:val="00F60D18"/>
    <w:rsid w:val="00F616DD"/>
    <w:rsid w:val="00F6273C"/>
    <w:rsid w:val="00F637FB"/>
    <w:rsid w:val="00F642C6"/>
    <w:rsid w:val="00F64901"/>
    <w:rsid w:val="00F6498F"/>
    <w:rsid w:val="00F64F2B"/>
    <w:rsid w:val="00F65201"/>
    <w:rsid w:val="00F65876"/>
    <w:rsid w:val="00F66A35"/>
    <w:rsid w:val="00F66D82"/>
    <w:rsid w:val="00F66EA4"/>
    <w:rsid w:val="00F671EE"/>
    <w:rsid w:val="00F678D5"/>
    <w:rsid w:val="00F67AFC"/>
    <w:rsid w:val="00F67C82"/>
    <w:rsid w:val="00F67C8C"/>
    <w:rsid w:val="00F7029B"/>
    <w:rsid w:val="00F71592"/>
    <w:rsid w:val="00F7182B"/>
    <w:rsid w:val="00F726A7"/>
    <w:rsid w:val="00F7342B"/>
    <w:rsid w:val="00F73965"/>
    <w:rsid w:val="00F73E68"/>
    <w:rsid w:val="00F7457B"/>
    <w:rsid w:val="00F74D73"/>
    <w:rsid w:val="00F74E47"/>
    <w:rsid w:val="00F75521"/>
    <w:rsid w:val="00F76449"/>
    <w:rsid w:val="00F76A58"/>
    <w:rsid w:val="00F76CEF"/>
    <w:rsid w:val="00F7740A"/>
    <w:rsid w:val="00F81095"/>
    <w:rsid w:val="00F81C82"/>
    <w:rsid w:val="00F828C6"/>
    <w:rsid w:val="00F82F56"/>
    <w:rsid w:val="00F8305B"/>
    <w:rsid w:val="00F84A73"/>
    <w:rsid w:val="00F84BA1"/>
    <w:rsid w:val="00F850F9"/>
    <w:rsid w:val="00F8543A"/>
    <w:rsid w:val="00F86034"/>
    <w:rsid w:val="00F8649B"/>
    <w:rsid w:val="00F86697"/>
    <w:rsid w:val="00F866B1"/>
    <w:rsid w:val="00F8685D"/>
    <w:rsid w:val="00F86C01"/>
    <w:rsid w:val="00F86DF3"/>
    <w:rsid w:val="00F86F6F"/>
    <w:rsid w:val="00F874E0"/>
    <w:rsid w:val="00F87641"/>
    <w:rsid w:val="00F8792C"/>
    <w:rsid w:val="00F92481"/>
    <w:rsid w:val="00F92CDD"/>
    <w:rsid w:val="00F932EF"/>
    <w:rsid w:val="00F936A9"/>
    <w:rsid w:val="00F936CA"/>
    <w:rsid w:val="00F93B26"/>
    <w:rsid w:val="00F948D7"/>
    <w:rsid w:val="00F954D1"/>
    <w:rsid w:val="00F95933"/>
    <w:rsid w:val="00F95D4F"/>
    <w:rsid w:val="00F96AAB"/>
    <w:rsid w:val="00F9748B"/>
    <w:rsid w:val="00F97B72"/>
    <w:rsid w:val="00F97E72"/>
    <w:rsid w:val="00FA0386"/>
    <w:rsid w:val="00FA077D"/>
    <w:rsid w:val="00FA09EF"/>
    <w:rsid w:val="00FA0D17"/>
    <w:rsid w:val="00FA0E35"/>
    <w:rsid w:val="00FA152A"/>
    <w:rsid w:val="00FA1A23"/>
    <w:rsid w:val="00FA2350"/>
    <w:rsid w:val="00FA2933"/>
    <w:rsid w:val="00FA2ED3"/>
    <w:rsid w:val="00FA3183"/>
    <w:rsid w:val="00FA39A0"/>
    <w:rsid w:val="00FA4036"/>
    <w:rsid w:val="00FA5362"/>
    <w:rsid w:val="00FA5A59"/>
    <w:rsid w:val="00FA62A7"/>
    <w:rsid w:val="00FB0958"/>
    <w:rsid w:val="00FB0E20"/>
    <w:rsid w:val="00FB1BF5"/>
    <w:rsid w:val="00FB2993"/>
    <w:rsid w:val="00FB2BB6"/>
    <w:rsid w:val="00FB4781"/>
    <w:rsid w:val="00FB7735"/>
    <w:rsid w:val="00FC095D"/>
    <w:rsid w:val="00FC2106"/>
    <w:rsid w:val="00FC2963"/>
    <w:rsid w:val="00FC2C42"/>
    <w:rsid w:val="00FC3DBA"/>
    <w:rsid w:val="00FC4006"/>
    <w:rsid w:val="00FC404B"/>
    <w:rsid w:val="00FC40B1"/>
    <w:rsid w:val="00FC50B6"/>
    <w:rsid w:val="00FC52A1"/>
    <w:rsid w:val="00FC53EE"/>
    <w:rsid w:val="00FC576A"/>
    <w:rsid w:val="00FC5DED"/>
    <w:rsid w:val="00FC628D"/>
    <w:rsid w:val="00FC6E7D"/>
    <w:rsid w:val="00FC737D"/>
    <w:rsid w:val="00FD00E5"/>
    <w:rsid w:val="00FD1977"/>
    <w:rsid w:val="00FD1EA4"/>
    <w:rsid w:val="00FD2F24"/>
    <w:rsid w:val="00FD3330"/>
    <w:rsid w:val="00FD4148"/>
    <w:rsid w:val="00FD41C7"/>
    <w:rsid w:val="00FD435C"/>
    <w:rsid w:val="00FD5281"/>
    <w:rsid w:val="00FD5381"/>
    <w:rsid w:val="00FD540C"/>
    <w:rsid w:val="00FD741E"/>
    <w:rsid w:val="00FD7DBD"/>
    <w:rsid w:val="00FD7F06"/>
    <w:rsid w:val="00FE020A"/>
    <w:rsid w:val="00FE02BE"/>
    <w:rsid w:val="00FE0351"/>
    <w:rsid w:val="00FE0566"/>
    <w:rsid w:val="00FE06AA"/>
    <w:rsid w:val="00FE0997"/>
    <w:rsid w:val="00FE0C54"/>
    <w:rsid w:val="00FE1A3F"/>
    <w:rsid w:val="00FE2386"/>
    <w:rsid w:val="00FE2E04"/>
    <w:rsid w:val="00FE4229"/>
    <w:rsid w:val="00FE5654"/>
    <w:rsid w:val="00FE64CC"/>
    <w:rsid w:val="00FE667F"/>
    <w:rsid w:val="00FE776F"/>
    <w:rsid w:val="00FE7A29"/>
    <w:rsid w:val="00FE7F96"/>
    <w:rsid w:val="00FF02BA"/>
    <w:rsid w:val="00FF0691"/>
    <w:rsid w:val="00FF114D"/>
    <w:rsid w:val="00FF1357"/>
    <w:rsid w:val="00FF13D7"/>
    <w:rsid w:val="00FF143B"/>
    <w:rsid w:val="00FF1EBA"/>
    <w:rsid w:val="00FF4DCC"/>
    <w:rsid w:val="00FF6385"/>
    <w:rsid w:val="00FF66E0"/>
    <w:rsid w:val="00FF6C04"/>
    <w:rsid w:val="00FF6CAB"/>
    <w:rsid w:val="00FF6F63"/>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990C39"/>
  <w15:docId w15:val="{C92A8480-699B-B64F-BB14-E23A6B3A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6CAB"/>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uiPriority w:val="9"/>
    <w:qFormat/>
    <w:rsid w:val="000F14F1"/>
    <w:pPr>
      <w:keepNext/>
      <w:autoSpaceDE w:val="0"/>
      <w:autoSpaceDN w:val="0"/>
      <w:adjustRightInd w:val="0"/>
      <w:spacing w:before="120" w:after="60"/>
      <w:jc w:val="center"/>
      <w:outlineLvl w:val="0"/>
    </w:pPr>
    <w:rPr>
      <w:b/>
      <w:bCs/>
      <w:noProof/>
      <w:kern w:val="32"/>
      <w:sz w:val="24"/>
      <w:szCs w:val="24"/>
    </w:rPr>
  </w:style>
  <w:style w:type="paragraph" w:styleId="Heading2">
    <w:name w:val="heading 2"/>
    <w:basedOn w:val="Normal"/>
    <w:next w:val="Normal"/>
    <w:link w:val="Heading2Char"/>
    <w:qFormat/>
    <w:rsid w:val="00FF6CAB"/>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FF6CAB"/>
    <w:pPr>
      <w:keepNext/>
      <w:spacing w:before="120"/>
      <w:outlineLvl w:val="2"/>
    </w:pPr>
    <w:rPr>
      <w:rFonts w:cs="Arial"/>
      <w:b/>
      <w:bCs/>
      <w:i/>
      <w:noProof/>
      <w:sz w:val="22"/>
      <w14:numForm w14:val="default"/>
      <w14:numSpacing w14:val="default"/>
    </w:rPr>
  </w:style>
  <w:style w:type="paragraph" w:styleId="Heading4">
    <w:name w:val="heading 4"/>
    <w:basedOn w:val="Normal"/>
    <w:next w:val="Normal"/>
    <w:rsid w:val="000407EF"/>
    <w:pPr>
      <w:keepNext/>
      <w:spacing w:before="120"/>
      <w:outlineLvl w:val="3"/>
    </w:pPr>
    <w:rPr>
      <w:rFonts w:eastAsia="Times New Roman"/>
      <w:bCs/>
      <w:i/>
      <w:szCs w:val="28"/>
    </w:rPr>
  </w:style>
  <w:style w:type="paragraph" w:styleId="Heading5">
    <w:name w:val="heading 5"/>
    <w:basedOn w:val="Normal"/>
    <w:next w:val="Normal"/>
    <w:link w:val="Heading5Char"/>
    <w:semiHidden/>
    <w:unhideWhenUsed/>
    <w:qFormat/>
    <w:rsid w:val="00FF6CAB"/>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FF6CAB"/>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FF6CAB"/>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FF6CAB"/>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0F14F1"/>
    <w:pPr>
      <w:ind w:left="425" w:hanging="425"/>
      <w:jc w:val="both"/>
    </w:pPr>
  </w:style>
  <w:style w:type="paragraph" w:customStyle="1" w:styleId="Text">
    <w:name w:val="Text"/>
    <w:basedOn w:val="Normal"/>
    <w:qFormat/>
    <w:rsid w:val="000F14F1"/>
    <w:pPr>
      <w:suppressAutoHyphens/>
      <w:overflowPunct/>
      <w:spacing w:before="120"/>
      <w:ind w:firstLine="284"/>
      <w:jc w:val="both"/>
      <w:textAlignment w:val="auto"/>
    </w:pPr>
  </w:style>
  <w:style w:type="paragraph" w:customStyle="1" w:styleId="BulletText">
    <w:name w:val="Bullet Text"/>
    <w:basedOn w:val="Text"/>
    <w:qFormat/>
    <w:rsid w:val="00B86209"/>
    <w:pPr>
      <w:ind w:left="284" w:hanging="284"/>
    </w:pPr>
    <w:rPr>
      <w:noProof/>
    </w:rPr>
  </w:style>
  <w:style w:type="paragraph" w:customStyle="1" w:styleId="Bullettextcont">
    <w:name w:val="Bullet text cont"/>
    <w:basedOn w:val="BulletText"/>
    <w:qFormat/>
    <w:rsid w:val="000F14F1"/>
    <w:pPr>
      <w:spacing w:before="0"/>
    </w:pPr>
  </w:style>
  <w:style w:type="character" w:styleId="CommentReference">
    <w:name w:val="annotation reference"/>
    <w:rsid w:val="0011568A"/>
    <w:rPr>
      <w:sz w:val="16"/>
      <w:szCs w:val="16"/>
    </w:rPr>
  </w:style>
  <w:style w:type="paragraph" w:styleId="CommentText">
    <w:name w:val="annotation text"/>
    <w:basedOn w:val="Normal"/>
    <w:link w:val="CommentTextChar"/>
    <w:rsid w:val="0011568A"/>
  </w:style>
  <w:style w:type="character" w:customStyle="1" w:styleId="CommentTextChar">
    <w:name w:val="Comment Text Char"/>
    <w:link w:val="CommentText"/>
    <w:rsid w:val="0011568A"/>
    <w:rPr>
      <w:rFonts w:ascii="Cambria" w:eastAsia="Calibri" w:hAnsi="Cambria"/>
      <w:lang w:eastAsia="en-US"/>
    </w:rPr>
  </w:style>
  <w:style w:type="paragraph" w:styleId="CommentSubject">
    <w:name w:val="annotation subject"/>
    <w:basedOn w:val="CommentText"/>
    <w:next w:val="CommentText"/>
    <w:link w:val="CommentSubjectChar"/>
    <w:rsid w:val="000F14F1"/>
    <w:rPr>
      <w:b/>
      <w:bCs/>
    </w:rPr>
  </w:style>
  <w:style w:type="character" w:customStyle="1" w:styleId="CommentSubjectChar">
    <w:name w:val="Comment Subject Char"/>
    <w:link w:val="CommentSubject"/>
    <w:rsid w:val="000F14F1"/>
    <w:rPr>
      <w:rFonts w:ascii="Cambria" w:hAnsi="Cambria"/>
      <w:b/>
      <w:bCs/>
      <w14:numForm w14:val="oldStyle"/>
      <w14:numSpacing w14:val="proportional"/>
    </w:rPr>
  </w:style>
  <w:style w:type="paragraph" w:styleId="EndnoteText">
    <w:name w:val="endnote text"/>
    <w:basedOn w:val="Normal"/>
    <w:link w:val="EndnoteTextChar"/>
    <w:uiPriority w:val="99"/>
    <w:rsid w:val="007E2250"/>
    <w:pPr>
      <w:tabs>
        <w:tab w:val="left" w:pos="284"/>
      </w:tabs>
      <w:ind w:left="425" w:hanging="425"/>
    </w:pPr>
    <w:rPr>
      <w:kern w:val="20"/>
      <w:sz w:val="18"/>
    </w:rPr>
  </w:style>
  <w:style w:type="character" w:customStyle="1" w:styleId="EndnoteTextChar">
    <w:name w:val="Endnote Text Char"/>
    <w:link w:val="EndnoteText"/>
    <w:uiPriority w:val="99"/>
    <w:rsid w:val="007E2250"/>
    <w:rPr>
      <w:rFonts w:ascii="Cambria" w:hAnsi="Cambria"/>
      <w:kern w:val="20"/>
      <w:sz w:val="18"/>
      <w14:numForm w14:val="oldStyle"/>
      <w14:numSpacing w14:val="proportional"/>
    </w:rPr>
  </w:style>
  <w:style w:type="paragraph" w:styleId="Footer">
    <w:name w:val="footer"/>
    <w:basedOn w:val="Normal"/>
    <w:link w:val="FooterChar"/>
    <w:uiPriority w:val="99"/>
    <w:unhideWhenUsed/>
    <w:rsid w:val="000F14F1"/>
    <w:pPr>
      <w:tabs>
        <w:tab w:val="center" w:pos="4320"/>
        <w:tab w:val="right" w:pos="8640"/>
      </w:tabs>
    </w:pPr>
  </w:style>
  <w:style w:type="character" w:customStyle="1" w:styleId="FooterChar">
    <w:name w:val="Footer Char"/>
    <w:link w:val="Footer"/>
    <w:uiPriority w:val="99"/>
    <w:rsid w:val="000F14F1"/>
    <w:rPr>
      <w:rFonts w:ascii="Cambria" w:hAnsi="Cambria"/>
      <w14:numForm w14:val="oldStyle"/>
      <w14:numSpacing w14:val="proportional"/>
    </w:rPr>
  </w:style>
  <w:style w:type="character" w:styleId="FootnoteReference">
    <w:name w:val="footnote reference"/>
    <w:rsid w:val="000F14F1"/>
    <w:rPr>
      <w:rFonts w:ascii="Cambria" w:hAnsi="Cambria" w:cs="Times New Roman"/>
      <w:noProof w:val="0"/>
      <w:position w:val="2"/>
      <w:sz w:val="20"/>
      <w:vertAlign w:val="superscript"/>
      <w:lang w:val="en-GB"/>
      <w14:numForm w14:val="oldStyle"/>
      <w14:numSpacing w14:val="proportional"/>
    </w:rPr>
  </w:style>
  <w:style w:type="paragraph" w:styleId="FootnoteText">
    <w:name w:val="footnote text"/>
    <w:basedOn w:val="Normal"/>
    <w:link w:val="FootnoteTextChar"/>
    <w:rsid w:val="00097600"/>
    <w:pPr>
      <w:widowControl/>
      <w:ind w:left="284" w:hanging="284"/>
    </w:pPr>
    <w:rPr>
      <w:iCs/>
      <w:kern w:val="20"/>
      <w:sz w:val="18"/>
      <w:szCs w:val="18"/>
    </w:rPr>
  </w:style>
  <w:style w:type="character" w:customStyle="1" w:styleId="FootnoteTextChar">
    <w:name w:val="Footnote Text Char"/>
    <w:link w:val="FootnoteText"/>
    <w:rsid w:val="00097600"/>
    <w:rPr>
      <w:rFonts w:ascii="Cambria" w:hAnsi="Cambria"/>
      <w:iCs/>
      <w:kern w:val="20"/>
      <w:sz w:val="18"/>
      <w:szCs w:val="18"/>
      <w14:numForm w14:val="oldStyle"/>
      <w14:numSpacing w14:val="proportional"/>
    </w:rPr>
  </w:style>
  <w:style w:type="paragraph" w:styleId="Header">
    <w:name w:val="header"/>
    <w:basedOn w:val="Normal"/>
    <w:link w:val="HeaderChar"/>
    <w:rsid w:val="00950F6C"/>
    <w:pPr>
      <w:spacing w:after="120"/>
      <w:jc w:val="center"/>
    </w:pPr>
    <w:rPr>
      <w:kern w:val="20"/>
      <w:sz w:val="18"/>
    </w:rPr>
  </w:style>
  <w:style w:type="character" w:customStyle="1" w:styleId="HeaderChar">
    <w:name w:val="Header Char"/>
    <w:link w:val="Header"/>
    <w:rsid w:val="00950F6C"/>
    <w:rPr>
      <w:kern w:val="20"/>
      <w:sz w:val="18"/>
    </w:rPr>
  </w:style>
  <w:style w:type="character" w:customStyle="1" w:styleId="Heading1Char">
    <w:name w:val="Heading 1 Char"/>
    <w:link w:val="Heading1"/>
    <w:uiPriority w:val="9"/>
    <w:rsid w:val="000F14F1"/>
    <w:rPr>
      <w:rFonts w:ascii="Cambria" w:hAnsi="Cambria"/>
      <w:b/>
      <w:bCs/>
      <w:noProof/>
      <w:kern w:val="32"/>
      <w:sz w:val="24"/>
      <w:szCs w:val="24"/>
      <w14:numForm w14:val="oldStyle"/>
      <w14:numSpacing w14:val="proportional"/>
    </w:rPr>
  </w:style>
  <w:style w:type="character" w:customStyle="1" w:styleId="Heading2Char">
    <w:name w:val="Heading 2 Char"/>
    <w:basedOn w:val="DefaultParagraphFont"/>
    <w:link w:val="Heading2"/>
    <w:rsid w:val="00FF6CAB"/>
    <w:rPr>
      <w:rFonts w:ascii="Cambria" w:hAnsi="Cambria"/>
      <w:b/>
      <w:noProof/>
      <w:sz w:val="24"/>
      <w:szCs w:val="24"/>
    </w:rPr>
  </w:style>
  <w:style w:type="character" w:customStyle="1" w:styleId="Heading3Char">
    <w:name w:val="Heading 3 Char"/>
    <w:link w:val="Heading3"/>
    <w:rsid w:val="00FF6CAB"/>
    <w:rPr>
      <w:rFonts w:ascii="Cambria" w:hAnsi="Cambria" w:cs="Arial"/>
      <w:b/>
      <w:bCs/>
      <w:i/>
      <w:noProof/>
      <w:sz w:val="22"/>
    </w:rPr>
  </w:style>
  <w:style w:type="paragraph" w:customStyle="1" w:styleId="Hidden">
    <w:name w:val="Hidden"/>
    <w:basedOn w:val="Normal"/>
    <w:qFormat/>
    <w:rsid w:val="00FF6CAB"/>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0F14F1"/>
    <w:pPr>
      <w:jc w:val="right"/>
    </w:pPr>
  </w:style>
  <w:style w:type="paragraph" w:styleId="Quote">
    <w:name w:val="Quote"/>
    <w:basedOn w:val="Normal"/>
    <w:next w:val="Normal"/>
    <w:link w:val="QuoteChar"/>
    <w:qFormat/>
    <w:rsid w:val="0001081C"/>
    <w:pPr>
      <w:spacing w:before="120"/>
      <w:ind w:left="567"/>
      <w:jc w:val="both"/>
    </w:pPr>
    <w:rPr>
      <w:iCs/>
    </w:rPr>
  </w:style>
  <w:style w:type="character" w:customStyle="1" w:styleId="QuoteChar">
    <w:name w:val="Quote Char"/>
    <w:link w:val="Quote"/>
    <w:rsid w:val="0001081C"/>
    <w:rPr>
      <w:rFonts w:ascii="Cambria" w:hAnsi="Cambria"/>
      <w:iCs/>
      <w14:numForm w14:val="oldStyle"/>
      <w14:numSpacing w14:val="proportional"/>
    </w:rPr>
  </w:style>
  <w:style w:type="paragraph" w:customStyle="1" w:styleId="Quotects">
    <w:name w:val="Quotects"/>
    <w:basedOn w:val="Normal"/>
    <w:qFormat/>
    <w:rsid w:val="00B56F41"/>
    <w:pPr>
      <w:ind w:left="1134" w:hanging="567"/>
    </w:pPr>
  </w:style>
  <w:style w:type="paragraph" w:customStyle="1" w:styleId="Ref">
    <w:name w:val="Ref"/>
    <w:basedOn w:val="Normal"/>
    <w:link w:val="RefChar"/>
    <w:rsid w:val="000F14F1"/>
    <w:pPr>
      <w:tabs>
        <w:tab w:val="left" w:pos="3402"/>
      </w:tabs>
      <w:spacing w:before="120"/>
      <w:ind w:left="1134" w:hanging="1134"/>
      <w:jc w:val="both"/>
    </w:pPr>
  </w:style>
  <w:style w:type="character" w:customStyle="1" w:styleId="RefChar">
    <w:name w:val="Ref Char"/>
    <w:link w:val="Ref"/>
    <w:rsid w:val="000F14F1"/>
    <w:rPr>
      <w:rFonts w:ascii="Cambria" w:hAnsi="Cambria"/>
      <w14:numForm w14:val="oldStyle"/>
      <w14:numSpacing w14:val="proportional"/>
    </w:rPr>
  </w:style>
  <w:style w:type="paragraph" w:customStyle="1" w:styleId="Reference">
    <w:name w:val="Reference"/>
    <w:basedOn w:val="Text"/>
    <w:rsid w:val="000F14F1"/>
    <w:pPr>
      <w:tabs>
        <w:tab w:val="left" w:pos="284"/>
        <w:tab w:val="left" w:pos="567"/>
      </w:tabs>
      <w:spacing w:before="0"/>
      <w:ind w:left="284" w:hanging="284"/>
    </w:pPr>
    <w:rPr>
      <w:sz w:val="18"/>
    </w:rPr>
  </w:style>
  <w:style w:type="table" w:styleId="TableGrid">
    <w:name w:val="Table Grid"/>
    <w:basedOn w:val="TableNormal"/>
    <w:uiPriority w:val="59"/>
    <w:rsid w:val="0011568A"/>
    <w:rPr>
      <w:lang w:val="en-US" w:eastAsia="en-US"/>
    </w:rPr>
    <w:tblPr>
      <w:tblCellMar>
        <w:left w:w="113" w:type="dxa"/>
        <w:right w:w="113" w:type="dxa"/>
      </w:tblCellMar>
    </w:tblPr>
  </w:style>
  <w:style w:type="paragraph" w:customStyle="1" w:styleId="Tabletext">
    <w:name w:val="Table text"/>
    <w:basedOn w:val="Normal"/>
    <w:rsid w:val="000F14F1"/>
    <w:rPr>
      <w14:numSpacing w14:val="tabular"/>
    </w:rPr>
  </w:style>
  <w:style w:type="paragraph" w:customStyle="1" w:styleId="Textcts">
    <w:name w:val="Textcts"/>
    <w:basedOn w:val="Text"/>
    <w:qFormat/>
    <w:rsid w:val="008E75BC"/>
    <w:pPr>
      <w:spacing w:before="0"/>
      <w:ind w:firstLine="0"/>
    </w:pPr>
  </w:style>
  <w:style w:type="paragraph" w:styleId="TOC1">
    <w:name w:val="toc 1"/>
    <w:basedOn w:val="Normal"/>
    <w:next w:val="Normal"/>
    <w:uiPriority w:val="39"/>
    <w:rsid w:val="0052750E"/>
    <w:pPr>
      <w:widowControl/>
      <w:tabs>
        <w:tab w:val="right" w:pos="284"/>
        <w:tab w:val="left" w:pos="425"/>
        <w:tab w:val="right" w:leader="dot" w:pos="5727"/>
        <w:tab w:val="right" w:pos="6120"/>
      </w:tabs>
      <w:spacing w:before="120"/>
    </w:pPr>
    <w:rPr>
      <w:bCs/>
      <w:szCs w:val="28"/>
      <w:lang w:eastAsia="en-US"/>
      <w14:numSpacing w14:val="tabular"/>
    </w:rPr>
  </w:style>
  <w:style w:type="paragraph" w:styleId="TOC2">
    <w:name w:val="toc 2"/>
    <w:basedOn w:val="Normal"/>
    <w:next w:val="Normal"/>
    <w:uiPriority w:val="39"/>
    <w:rsid w:val="00755A63"/>
    <w:pPr>
      <w:widowControl/>
      <w:tabs>
        <w:tab w:val="left" w:pos="720"/>
        <w:tab w:val="right" w:leader="dot" w:pos="5727"/>
        <w:tab w:val="right" w:pos="6120"/>
      </w:tabs>
      <w:ind w:left="284"/>
    </w:pPr>
    <w:rPr>
      <w:bCs/>
      <w:szCs w:val="24"/>
      <w:lang w:eastAsia="en-US"/>
      <w14:numSpacing w14:val="tabular"/>
    </w:rPr>
  </w:style>
  <w:style w:type="paragraph" w:styleId="TOC3">
    <w:name w:val="toc 3"/>
    <w:basedOn w:val="Normal"/>
    <w:next w:val="Normal"/>
    <w:uiPriority w:val="39"/>
    <w:rsid w:val="00755A63"/>
    <w:pPr>
      <w:pageBreakBefore/>
      <w:widowControl/>
    </w:pPr>
    <w:rPr>
      <w:i/>
      <w:color w:val="FFFFFF" w:themeColor="background1"/>
      <w:sz w:val="12"/>
      <w:szCs w:val="24"/>
      <w14:numSpacing w14:val="tabular"/>
    </w:rPr>
  </w:style>
  <w:style w:type="paragraph" w:styleId="TOC4">
    <w:name w:val="toc 4"/>
    <w:basedOn w:val="Normal"/>
    <w:next w:val="Normal"/>
    <w:uiPriority w:val="39"/>
    <w:rsid w:val="006920C4"/>
    <w:pPr>
      <w:tabs>
        <w:tab w:val="right" w:leader="dot" w:pos="7474"/>
      </w:tabs>
      <w:ind w:left="1276"/>
    </w:pPr>
    <w:rPr>
      <w14:numSpacing w14:val="tabular"/>
    </w:rPr>
  </w:style>
  <w:style w:type="character" w:styleId="EndnoteReference">
    <w:name w:val="endnote reference"/>
    <w:rsid w:val="000F14F1"/>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0F14F1"/>
    <w:pPr>
      <w:keepNext/>
      <w:widowControl/>
      <w:kinsoku/>
      <w:overflowPunct/>
      <w:spacing w:before="120"/>
      <w:jc w:val="center"/>
      <w:outlineLvl w:val="1"/>
    </w:pPr>
    <w:rPr>
      <w:rFonts w:eastAsia="Times New Roman"/>
      <w:b/>
      <w:bCs/>
      <w:color w:val="E3120B"/>
      <w:sz w:val="24"/>
      <w:szCs w:val="36"/>
    </w:rPr>
  </w:style>
  <w:style w:type="character" w:customStyle="1" w:styleId="EconomistheadingChar">
    <w:name w:val="Economist heading Char"/>
    <w:link w:val="Economistheading"/>
    <w:rsid w:val="000F14F1"/>
    <w:rPr>
      <w:rFonts w:ascii="Cambria" w:eastAsia="Times New Roman" w:hAnsi="Cambria"/>
      <w:b/>
      <w:bCs/>
      <w:color w:val="E3120B"/>
      <w:sz w:val="24"/>
      <w:szCs w:val="36"/>
      <w14:numForm w14:val="oldStyle"/>
      <w14:numSpacing w14:val="proportional"/>
    </w:rPr>
  </w:style>
  <w:style w:type="paragraph" w:styleId="Caption">
    <w:name w:val="caption"/>
    <w:basedOn w:val="Normal"/>
    <w:next w:val="Normal"/>
    <w:semiHidden/>
    <w:unhideWhenUsed/>
    <w:qFormat/>
    <w:rsid w:val="00FF6CAB"/>
    <w:pPr>
      <w:spacing w:after="200"/>
    </w:pPr>
    <w:rPr>
      <w:b/>
      <w:bCs/>
      <w:color w:val="4F81BD" w:themeColor="accent1"/>
      <w:sz w:val="18"/>
      <w:szCs w:val="18"/>
    </w:rPr>
  </w:style>
  <w:style w:type="character" w:customStyle="1" w:styleId="Heading9Char">
    <w:name w:val="Heading 9 Char"/>
    <w:basedOn w:val="DefaultParagraphFont"/>
    <w:link w:val="Heading9"/>
    <w:semiHidden/>
    <w:rsid w:val="00FF6CAB"/>
    <w:rPr>
      <w:rFonts w:asciiTheme="majorHAnsi" w:eastAsiaTheme="majorEastAsia" w:hAnsiTheme="majorHAnsi" w:cstheme="majorBidi"/>
      <w:i/>
      <w:iCs/>
      <w:noProof/>
      <w:color w:val="404040" w:themeColor="text1" w:themeTint="BF"/>
    </w:rPr>
  </w:style>
  <w:style w:type="character" w:customStyle="1" w:styleId="Heading6Char">
    <w:name w:val="Heading 6 Char"/>
    <w:basedOn w:val="DefaultParagraphFont"/>
    <w:link w:val="Heading6"/>
    <w:semiHidden/>
    <w:rsid w:val="00FF6CAB"/>
    <w:rPr>
      <w:rFonts w:asciiTheme="majorHAnsi" w:eastAsiaTheme="majorEastAsia" w:hAnsiTheme="majorHAnsi" w:cstheme="majorBidi"/>
      <w:i/>
      <w:iCs/>
      <w:noProof/>
      <w:color w:val="243F60" w:themeColor="accent1" w:themeShade="7F"/>
    </w:rPr>
  </w:style>
  <w:style w:type="character" w:customStyle="1" w:styleId="Heading5Char">
    <w:name w:val="Heading 5 Char"/>
    <w:basedOn w:val="DefaultParagraphFont"/>
    <w:link w:val="Heading5"/>
    <w:semiHidden/>
    <w:rsid w:val="00FF6CAB"/>
    <w:rPr>
      <w:rFonts w:asciiTheme="majorHAnsi" w:eastAsiaTheme="majorEastAsia" w:hAnsiTheme="majorHAnsi" w:cstheme="majorBidi"/>
      <w:noProof/>
      <w:color w:val="243F60" w:themeColor="accent1" w:themeShade="7F"/>
    </w:rPr>
  </w:style>
  <w:style w:type="character" w:customStyle="1" w:styleId="Heading7Char">
    <w:name w:val="Heading 7 Char"/>
    <w:basedOn w:val="DefaultParagraphFont"/>
    <w:link w:val="Heading7"/>
    <w:semiHidden/>
    <w:rsid w:val="00FF6CAB"/>
    <w:rPr>
      <w:rFonts w:asciiTheme="majorHAnsi" w:eastAsiaTheme="majorEastAsia" w:hAnsiTheme="majorHAnsi" w:cstheme="majorBidi"/>
      <w:i/>
      <w:iCs/>
      <w:noProof/>
      <w:color w:val="404040" w:themeColor="text1" w:themeTint="BF"/>
    </w:rPr>
  </w:style>
  <w:style w:type="paragraph" w:customStyle="1" w:styleId="Bullet2">
    <w:name w:val="Bullet2"/>
    <w:basedOn w:val="BulletText"/>
    <w:link w:val="Bullet2Char"/>
    <w:qFormat/>
    <w:rsid w:val="00F936A9"/>
    <w:pPr>
      <w:ind w:left="568"/>
    </w:pPr>
  </w:style>
  <w:style w:type="character" w:customStyle="1" w:styleId="Bullet2Char">
    <w:name w:val="Bullet2 Char"/>
    <w:basedOn w:val="DefaultParagraphFont"/>
    <w:link w:val="Bullet2"/>
    <w:rsid w:val="00F936A9"/>
    <w:rPr>
      <w:rFonts w:ascii="Cambria" w:hAnsi="Cambria"/>
      <w14:numForm w14:val="oldStyle"/>
      <w14:numSpacing w14:val="proportional"/>
    </w:rPr>
  </w:style>
  <w:style w:type="paragraph" w:customStyle="1" w:styleId="Bullet2ct">
    <w:name w:val="Bullet2 ct"/>
    <w:basedOn w:val="BulletText"/>
    <w:link w:val="Bullet2ctChar"/>
    <w:qFormat/>
    <w:rsid w:val="00F936A9"/>
    <w:pPr>
      <w:spacing w:before="0"/>
      <w:ind w:left="568"/>
    </w:pPr>
  </w:style>
  <w:style w:type="character" w:customStyle="1" w:styleId="Bullet2ctChar">
    <w:name w:val="Bullet2 ct Char"/>
    <w:basedOn w:val="DefaultParagraphFont"/>
    <w:link w:val="Bullet2ct"/>
    <w:rsid w:val="00F936A9"/>
    <w:rPr>
      <w:rFonts w:ascii="Cambria" w:hAnsi="Cambria"/>
      <w14:numForm w14:val="oldStyle"/>
      <w14:numSpacing w14:val="proportional"/>
    </w:rPr>
  </w:style>
  <w:style w:type="paragraph" w:customStyle="1" w:styleId="Translit">
    <w:name w:val="Translit"/>
    <w:basedOn w:val="Normal"/>
    <w:link w:val="TranslitChar"/>
    <w:qFormat/>
    <w:rsid w:val="00D202CE"/>
    <w:pPr>
      <w:tabs>
        <w:tab w:val="left" w:pos="3260"/>
        <w:tab w:val="left" w:pos="6521"/>
      </w:tabs>
      <w:ind w:left="6521" w:hanging="6521"/>
    </w:pPr>
    <w:rPr>
      <w:sz w:val="18"/>
      <w:szCs w:val="18"/>
    </w:rPr>
  </w:style>
  <w:style w:type="character" w:customStyle="1" w:styleId="TranslitChar">
    <w:name w:val="Translit Char"/>
    <w:link w:val="Translit"/>
    <w:rsid w:val="00D202CE"/>
    <w:rPr>
      <w:rFonts w:ascii="Cambria" w:hAnsi="Cambria"/>
      <w:sz w:val="18"/>
      <w:szCs w:val="18"/>
      <w14:numForm w14:val="oldStyle"/>
      <w14:numSpacing w14:val="proportional"/>
    </w:rPr>
  </w:style>
  <w:style w:type="paragraph" w:customStyle="1" w:styleId="Poetry">
    <w:name w:val="Poetry"/>
    <w:basedOn w:val="Normal"/>
    <w:qFormat/>
    <w:rsid w:val="00FE5654"/>
    <w:pPr>
      <w:keepNext/>
      <w:widowControl/>
      <w:spacing w:before="120"/>
      <w:ind w:left="1134" w:hanging="567"/>
    </w:pPr>
    <w:rPr>
      <w:i/>
    </w:rPr>
  </w:style>
  <w:style w:type="paragraph" w:customStyle="1" w:styleId="Poetrycts">
    <w:name w:val="Poetrycts"/>
    <w:basedOn w:val="Poetry"/>
    <w:qFormat/>
    <w:rsid w:val="00FE5654"/>
    <w:pPr>
      <w:keepNext w:val="0"/>
      <w:spacing w:before="0"/>
    </w:pPr>
  </w:style>
  <w:style w:type="paragraph" w:styleId="TOC5">
    <w:name w:val="toc 5"/>
    <w:basedOn w:val="Normal"/>
    <w:next w:val="Normal"/>
    <w:uiPriority w:val="39"/>
    <w:rsid w:val="006920C4"/>
    <w:pPr>
      <w:ind w:left="720"/>
    </w:pPr>
    <w:rPr>
      <w:rFonts w:asciiTheme="minorHAnsi" w:hAnsiTheme="minorHAnsi"/>
      <w:szCs w:val="24"/>
      <w14:numSpacing w14:val="tabular"/>
    </w:rPr>
  </w:style>
  <w:style w:type="paragraph" w:customStyle="1" w:styleId="EndnoteTextHead">
    <w:name w:val="Endnote Text Head"/>
    <w:basedOn w:val="EndnoteText"/>
    <w:link w:val="EndnoteTextHeadChar"/>
    <w:rsid w:val="0001175A"/>
    <w:pPr>
      <w:keepNext/>
      <w:spacing w:before="60" w:after="20"/>
      <w:ind w:left="284" w:hanging="284"/>
    </w:pPr>
    <w:rPr>
      <w:b/>
      <w:bCs/>
      <w:lang w:eastAsia="en-US"/>
    </w:rPr>
  </w:style>
  <w:style w:type="character" w:customStyle="1" w:styleId="EndnoteTextHeadChar">
    <w:name w:val="Endnote Text Head Char"/>
    <w:basedOn w:val="EndnoteTextChar"/>
    <w:link w:val="EndnoteTextHead"/>
    <w:rsid w:val="0001175A"/>
    <w:rPr>
      <w:rFonts w:ascii="Cambria" w:hAnsi="Cambria"/>
      <w:b/>
      <w:bCs/>
      <w:kern w:val="20"/>
      <w:sz w:val="16"/>
      <w:lang w:eastAsia="en-US"/>
      <w14:numForm w14:val="lining"/>
      <w14:numSpacing w14:val="proportional"/>
    </w:rPr>
  </w:style>
  <w:style w:type="paragraph" w:customStyle="1" w:styleId="Textleftn">
    <w:name w:val="Text_leftn"/>
    <w:basedOn w:val="Normal"/>
    <w:link w:val="TextleftnChar"/>
    <w:qFormat/>
    <w:rsid w:val="00D376BA"/>
    <w:pPr>
      <w:tabs>
        <w:tab w:val="left" w:pos="284"/>
      </w:tabs>
      <w:spacing w:before="120"/>
      <w:ind w:hanging="284"/>
    </w:pPr>
    <w:rPr>
      <w:lang w:eastAsia="en-US"/>
    </w:rPr>
  </w:style>
  <w:style w:type="character" w:customStyle="1" w:styleId="TextleftnChar">
    <w:name w:val="Text_leftn Char"/>
    <w:basedOn w:val="DefaultParagraphFont"/>
    <w:link w:val="Textleftn"/>
    <w:rsid w:val="00D376BA"/>
    <w:rPr>
      <w:rFonts w:ascii="Cambria" w:hAnsi="Cambria"/>
      <w:lang w:eastAsia="en-US"/>
      <w14:numForm w14:val="oldStyle"/>
      <w14:numSpacing w14:val="proportional"/>
    </w:rPr>
  </w:style>
  <w:style w:type="paragraph" w:customStyle="1" w:styleId="Textrightn">
    <w:name w:val="Text_rightn"/>
    <w:basedOn w:val="Textleftn"/>
    <w:link w:val="TextrightnChar"/>
    <w:qFormat/>
    <w:rsid w:val="00D376BA"/>
    <w:pPr>
      <w:tabs>
        <w:tab w:val="right" w:pos="5812"/>
      </w:tabs>
      <w:suppressAutoHyphens/>
      <w:overflowPunct/>
      <w:ind w:left="851"/>
      <w:textAlignment w:val="auto"/>
    </w:pPr>
  </w:style>
  <w:style w:type="character" w:customStyle="1" w:styleId="TextrightnChar">
    <w:name w:val="Text_rightn Char"/>
    <w:basedOn w:val="TextleftnChar"/>
    <w:link w:val="Textrightn"/>
    <w:rsid w:val="00D376BA"/>
    <w:rPr>
      <w:rFonts w:ascii="Cambria" w:hAnsi="Cambria"/>
      <w:lang w:eastAsia="en-US"/>
      <w14:numForm w14:val="oldStyle"/>
      <w14:numSpacing w14:val="proportional"/>
    </w:rPr>
  </w:style>
  <w:style w:type="character" w:customStyle="1" w:styleId="apple-style-span">
    <w:name w:val="apple-style-span"/>
    <w:basedOn w:val="DefaultParagraphFont"/>
    <w:rsid w:val="00075AC3"/>
  </w:style>
  <w:style w:type="paragraph" w:styleId="BalloonText">
    <w:name w:val="Balloon Text"/>
    <w:basedOn w:val="Normal"/>
    <w:link w:val="BalloonTextChar"/>
    <w:rsid w:val="00075AC3"/>
    <w:rPr>
      <w:rFonts w:ascii="Tahoma" w:hAnsi="Tahoma" w:cs="Tahoma"/>
      <w:sz w:val="16"/>
      <w:szCs w:val="16"/>
    </w:rPr>
  </w:style>
  <w:style w:type="character" w:customStyle="1" w:styleId="BalloonTextChar">
    <w:name w:val="Balloon Text Char"/>
    <w:basedOn w:val="DefaultParagraphFont"/>
    <w:link w:val="BalloonText"/>
    <w:rsid w:val="00075AC3"/>
    <w:rPr>
      <w:rFonts w:ascii="Tahoma" w:hAnsi="Tahoma" w:cs="Tahoma"/>
      <w:sz w:val="16"/>
      <w:szCs w:val="16"/>
      <w14:numForm w14:val="oldStyl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14</Pages>
  <Words>4543</Words>
  <Characters>22718</Characters>
  <Application>Microsoft Office Word</Application>
  <DocSecurity>0</DocSecurity>
  <Lines>354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Jonah Winters</cp:lastModifiedBy>
  <cp:revision>18</cp:revision>
  <dcterms:created xsi:type="dcterms:W3CDTF">2018-02-02T01:10:00Z</dcterms:created>
  <dcterms:modified xsi:type="dcterms:W3CDTF">2022-07-08T00:58:00Z</dcterms:modified>
</cp:coreProperties>
</file>