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586B" w14:textId="77777777" w:rsidR="00544629" w:rsidRPr="00907B24" w:rsidRDefault="00544629" w:rsidP="00E529DE">
      <w:pPr>
        <w:pStyle w:val="NormalWeb"/>
        <w:spacing w:before="240" w:beforeAutospacing="0" w:after="120" w:afterAutospacing="0" w:line="360" w:lineRule="auto"/>
        <w:jc w:val="center"/>
        <w:rPr>
          <w:sz w:val="40"/>
          <w:szCs w:val="40"/>
        </w:rPr>
      </w:pPr>
      <w:r w:rsidRPr="00907B24">
        <w:rPr>
          <w:sz w:val="40"/>
          <w:szCs w:val="40"/>
        </w:rPr>
        <w:t>The Deification of Jesus</w:t>
      </w:r>
    </w:p>
    <w:p w14:paraId="01E3C609" w14:textId="77777777" w:rsidR="00544629" w:rsidRPr="00F013EB" w:rsidRDefault="00F013EB" w:rsidP="00DD5E8A">
      <w:pPr>
        <w:pStyle w:val="NormalWeb"/>
        <w:spacing w:before="120" w:beforeAutospacing="0" w:after="120" w:afterAutospacing="0" w:line="360" w:lineRule="auto"/>
        <w:jc w:val="center"/>
        <w:rPr>
          <w:b/>
          <w:sz w:val="28"/>
          <w:szCs w:val="28"/>
        </w:rPr>
      </w:pPr>
      <w:r>
        <w:rPr>
          <w:b/>
          <w:sz w:val="28"/>
          <w:szCs w:val="28"/>
        </w:rPr>
        <w:t>by Jack McLean</w:t>
      </w:r>
    </w:p>
    <w:p w14:paraId="1A30ED7C" w14:textId="525509D4" w:rsidR="00F013EB" w:rsidRDefault="00F013EB" w:rsidP="00DD5E8A">
      <w:pPr>
        <w:pStyle w:val="NormalWeb"/>
        <w:spacing w:before="120" w:beforeAutospacing="0" w:after="360" w:afterAutospacing="0" w:line="360" w:lineRule="auto"/>
        <w:jc w:val="center"/>
      </w:pPr>
      <w:r w:rsidRPr="00DD5E8A">
        <w:rPr>
          <w:i/>
        </w:rPr>
        <w:t>World Order</w:t>
      </w:r>
      <w:r w:rsidRPr="00DD5E8A">
        <w:t xml:space="preserve"> 14:3-4 (Spring/Summer 1980), pp. 23-45</w:t>
      </w:r>
    </w:p>
    <w:p w14:paraId="12C9C06D" w14:textId="4986A064" w:rsidR="00DA6E21" w:rsidRPr="00670B74" w:rsidRDefault="00670B74" w:rsidP="00DD5E8A">
      <w:pPr>
        <w:pStyle w:val="NormalWeb"/>
        <w:spacing w:before="120" w:beforeAutospacing="0" w:after="360" w:afterAutospacing="0" w:line="360" w:lineRule="auto"/>
        <w:jc w:val="center"/>
        <w:rPr>
          <w:rFonts w:ascii="Helvetica" w:hAnsi="Helvetica"/>
          <w:sz w:val="22"/>
          <w:szCs w:val="22"/>
        </w:rPr>
      </w:pPr>
      <w:r w:rsidRPr="00670B74">
        <w:rPr>
          <w:rFonts w:ascii="Helvetica" w:hAnsi="Helvetica"/>
          <w:sz w:val="22"/>
          <w:szCs w:val="22"/>
        </w:rPr>
        <w:t>Updated d</w:t>
      </w:r>
      <w:r w:rsidR="00DA6E21" w:rsidRPr="00670B74">
        <w:rPr>
          <w:rFonts w:ascii="Helvetica" w:hAnsi="Helvetica"/>
          <w:sz w:val="22"/>
          <w:szCs w:val="22"/>
        </w:rPr>
        <w:t xml:space="preserve">ocument prepared by Gengadran Arun (2022) from a PDF scan by Robert </w:t>
      </w:r>
      <w:r w:rsidR="00DA6E21" w:rsidRPr="00670B74">
        <w:rPr>
          <w:rFonts w:ascii="Helvetica" w:hAnsi="Helvetica"/>
          <w:sz w:val="22"/>
          <w:szCs w:val="22"/>
        </w:rPr>
        <w:br/>
      </w:r>
      <w:r w:rsidR="00DA6E21" w:rsidRPr="00670B74">
        <w:rPr>
          <w:rFonts w:ascii="Helvetica" w:hAnsi="Helvetica"/>
          <w:sz w:val="22"/>
          <w:szCs w:val="22"/>
        </w:rPr>
        <w:t>LeBlanc</w:t>
      </w:r>
      <w:r w:rsidR="00DA6E21" w:rsidRPr="00670B74">
        <w:rPr>
          <w:rFonts w:ascii="Helvetica" w:hAnsi="Helvetica"/>
          <w:sz w:val="22"/>
          <w:szCs w:val="22"/>
        </w:rPr>
        <w:t xml:space="preserve"> (2013) for posting</w:t>
      </w:r>
      <w:r w:rsidR="00DA6E21" w:rsidRPr="00670B74">
        <w:rPr>
          <w:rFonts w:ascii="Helvetica" w:hAnsi="Helvetica"/>
          <w:sz w:val="22"/>
          <w:szCs w:val="22"/>
        </w:rPr>
        <w:t xml:space="preserve"> at </w:t>
      </w:r>
      <w:hyperlink r:id="rId8" w:history="1">
        <w:r w:rsidR="00DA6E21" w:rsidRPr="001A0A72">
          <w:rPr>
            <w:rStyle w:val="Hyperlink"/>
            <w:rFonts w:ascii="Helvetica" w:hAnsi="Helvetica" w:hint="eastAsia"/>
            <w:sz w:val="22"/>
            <w:szCs w:val="22"/>
          </w:rPr>
          <w:t>http</w:t>
        </w:r>
        <w:r w:rsidR="00DA6E21" w:rsidRPr="001A0A72">
          <w:rPr>
            <w:rStyle w:val="Hyperlink"/>
            <w:rFonts w:ascii="Helvetica" w:hAnsi="Helvetica"/>
            <w:sz w:val="22"/>
            <w:szCs w:val="22"/>
          </w:rPr>
          <w:t>s</w:t>
        </w:r>
        <w:r w:rsidR="00DA6E21" w:rsidRPr="001A0A72">
          <w:rPr>
            <w:rStyle w:val="Hyperlink"/>
            <w:rFonts w:ascii="Helvetica" w:hAnsi="Helvetica" w:hint="eastAsia"/>
            <w:sz w:val="22"/>
            <w:szCs w:val="22"/>
          </w:rPr>
          <w:t>://jack-mclean.com/articles/deification-of-jesus</w:t>
        </w:r>
      </w:hyperlink>
    </w:p>
    <w:p w14:paraId="621379F3" w14:textId="4CC405FA" w:rsidR="00544629" w:rsidRDefault="00544629" w:rsidP="00F013EB">
      <w:pPr>
        <w:pStyle w:val="NormalWeb"/>
        <w:spacing w:before="120" w:beforeAutospacing="0" w:after="120" w:afterAutospacing="0" w:line="300" w:lineRule="auto"/>
      </w:pPr>
      <w:r w:rsidRPr="00DC60AF">
        <w:rPr>
          <w:b/>
          <w:sz w:val="36"/>
          <w:szCs w:val="36"/>
        </w:rPr>
        <w:t>D</w:t>
      </w:r>
      <w:r>
        <w:t>espite the growing numbers of encounters in recent years of the World religions in forums of exchange Christianity continues to set i</w:t>
      </w:r>
      <w:r w:rsidR="00446330">
        <w:t>ts</w:t>
      </w:r>
      <w:r>
        <w:t>elf apa</w:t>
      </w:r>
      <w:r w:rsidR="00446330">
        <w:t>r</w:t>
      </w:r>
      <w:r>
        <w:t>t th</w:t>
      </w:r>
      <w:r w:rsidR="00446330">
        <w:t>rou</w:t>
      </w:r>
      <w:r>
        <w:t xml:space="preserve">gh a firm belief in the uniqueness of its founder, </w:t>
      </w:r>
      <w:r w:rsidR="00446330">
        <w:t>J</w:t>
      </w:r>
      <w:r>
        <w:t>esus Christ. While individual Christians may acknowledge the inspirational na</w:t>
      </w:r>
      <w:r w:rsidR="00DC60AF">
        <w:t>ture</w:t>
      </w:r>
      <w:r>
        <w:t xml:space="preserve"> of the no</w:t>
      </w:r>
      <w:r w:rsidR="00D652BC">
        <w:t>n-</w:t>
      </w:r>
      <w:r>
        <w:t>Ch</w:t>
      </w:r>
      <w:r w:rsidR="00D652BC">
        <w:t>r</w:t>
      </w:r>
      <w:r>
        <w:t>istian founders of religions, adherents of the major branches of Ch</w:t>
      </w:r>
      <w:r w:rsidR="00D652BC">
        <w:t>r</w:t>
      </w:r>
      <w:r>
        <w:t>istianity a</w:t>
      </w:r>
      <w:r w:rsidR="00D652BC">
        <w:t>r</w:t>
      </w:r>
      <w:r>
        <w:t xml:space="preserve">e united in the belief that Christ has no </w:t>
      </w:r>
      <w:r w:rsidR="00D652BC">
        <w:t>e</w:t>
      </w:r>
      <w:r>
        <w:t>qual</w:t>
      </w:r>
      <w:r w:rsidR="00D652BC">
        <w:t>.</w:t>
      </w:r>
      <w:r>
        <w:t xml:space="preserve"> This conviction in the uniqueness of Jesus has become the unassailable fortress of Christian belief. </w:t>
      </w:r>
      <w:r w:rsidR="001A0A72">
        <w:softHyphen/>
      </w:r>
      <w:bookmarkStart w:id="0" w:name="_GoBack"/>
      <w:bookmarkEnd w:id="0"/>
    </w:p>
    <w:p w14:paraId="203A5032" w14:textId="77777777" w:rsidR="00544629" w:rsidRDefault="00544629" w:rsidP="00F013EB">
      <w:pPr>
        <w:pStyle w:val="NormalWeb"/>
        <w:spacing w:before="120" w:beforeAutospacing="0" w:after="120" w:afterAutospacing="0" w:line="300" w:lineRule="auto"/>
        <w:ind w:firstLine="720"/>
      </w:pPr>
      <w:r>
        <w:t>Such a belief is the product of his</w:t>
      </w:r>
      <w:r w:rsidR="00A25E69">
        <w:t>tori</w:t>
      </w:r>
      <w:r>
        <w:t>cal and theological developments in the early church. Through a series of creed</w:t>
      </w:r>
      <w:r w:rsidR="00A25E69">
        <w:t>s</w:t>
      </w:r>
      <w:r>
        <w:t xml:space="preserve"> based on theological speculation </w:t>
      </w:r>
      <w:r w:rsidR="00A25E69">
        <w:t>J</w:t>
      </w:r>
      <w:r>
        <w:t>esus the Son was declared to be the very essence of Divinity walking upon the ea</w:t>
      </w:r>
      <w:r w:rsidR="00283EAB">
        <w:t>r</w:t>
      </w:r>
      <w:r>
        <w:t xml:space="preserve">th, the Godhead Itself united with a deified Holy Spirit in a </w:t>
      </w:r>
      <w:r w:rsidR="00693171">
        <w:t>Trinitarian</w:t>
      </w:r>
      <w:r>
        <w:t xml:space="preserve"> theology. These creeds, far from descending upon the church fathers as divine revelation, underwent a long historical development that was not uncontested. They we</w:t>
      </w:r>
      <w:r w:rsidR="00756FB9">
        <w:t>r</w:t>
      </w:r>
      <w:r>
        <w:t>e finally elabo</w:t>
      </w:r>
      <w:r w:rsidR="0094246D">
        <w:t>r</w:t>
      </w:r>
      <w:r>
        <w:t>ated in their p</w:t>
      </w:r>
      <w:r w:rsidR="0094246D">
        <w:t>r</w:t>
      </w:r>
      <w:r>
        <w:t>esent form after fo</w:t>
      </w:r>
      <w:r w:rsidR="0094246D">
        <w:t>ur</w:t>
      </w:r>
      <w:r>
        <w:t xml:space="preserve"> centuries of acrimonious theological quarrel</w:t>
      </w:r>
      <w:r w:rsidR="009A4CF7">
        <w:t>i</w:t>
      </w:r>
      <w:r>
        <w:t>ng that necessitated four world c</w:t>
      </w:r>
      <w:r w:rsidR="009A4CF7">
        <w:t>o</w:t>
      </w:r>
      <w:r>
        <w:t>uncils of the chu</w:t>
      </w:r>
      <w:r w:rsidR="007043A0">
        <w:t>r</w:t>
      </w:r>
      <w:r>
        <w:t>ch</w:t>
      </w:r>
      <w:r w:rsidR="007043A0">
        <w:t>—</w:t>
      </w:r>
      <w:r>
        <w:t>those of Ni</w:t>
      </w:r>
      <w:r w:rsidR="009A4CF7">
        <w:t>c</w:t>
      </w:r>
      <w:r>
        <w:t>aea, Ephesus, Constantinople, and Chalcedon—that b</w:t>
      </w:r>
      <w:r w:rsidR="009A4CF7">
        <w:t>ro</w:t>
      </w:r>
      <w:r>
        <w:t>ught in their wake bloody warfare among Christian factions</w:t>
      </w:r>
      <w:r w:rsidR="0047061A">
        <w:t>.</w:t>
      </w:r>
      <w:r>
        <w:t xml:space="preserve"> These </w:t>
      </w:r>
      <w:r w:rsidR="009B6F20">
        <w:t xml:space="preserve">Christological </w:t>
      </w:r>
      <w:r w:rsidR="009A4CF7">
        <w:t>c</w:t>
      </w:r>
      <w:r>
        <w:t>ont</w:t>
      </w:r>
      <w:r w:rsidR="009A4CF7">
        <w:t>r</w:t>
      </w:r>
      <w:r>
        <w:t xml:space="preserve">oversies resulted in the fragmentation of the churches of Asia Minor from those of Greek Orthodox Constantinople, a fragmentation that has continued to this day. </w:t>
      </w:r>
    </w:p>
    <w:p w14:paraId="78235DBC" w14:textId="77777777" w:rsidR="00544629" w:rsidRDefault="00544629" w:rsidP="00F013EB">
      <w:pPr>
        <w:pStyle w:val="NormalWeb"/>
        <w:spacing w:before="120" w:beforeAutospacing="0" w:after="120" w:afterAutospacing="0" w:line="300" w:lineRule="auto"/>
        <w:ind w:firstLine="720"/>
      </w:pPr>
      <w:r>
        <w:t>The writings of the Apostle Paul were a g</w:t>
      </w:r>
      <w:r w:rsidR="009A4CF7">
        <w:t>r</w:t>
      </w:r>
      <w:r>
        <w:t>eat factor in this de</w:t>
      </w:r>
      <w:r w:rsidR="009A4CF7">
        <w:t>i</w:t>
      </w:r>
      <w:r>
        <w:t>fi</w:t>
      </w:r>
      <w:r w:rsidR="009A4CF7">
        <w:t>ca</w:t>
      </w:r>
      <w:r>
        <w:t>tion of Jesus</w:t>
      </w:r>
      <w:r w:rsidR="0047061A">
        <w:t>.</w:t>
      </w:r>
      <w:r>
        <w:t xml:space="preserve"> Paul’s interpretation of the Christ figure bears the unmistakable stamp of a savior figure of the Greek mystery religions into whose form Jesus was cast</w:t>
      </w:r>
      <w:r w:rsidR="00CE0592">
        <w:t>.</w:t>
      </w:r>
      <w:r>
        <w:t xml:space="preserve"> The statements of </w:t>
      </w:r>
      <w:r w:rsidR="009A4CF7">
        <w:t>J</w:t>
      </w:r>
      <w:r>
        <w:t>esus Himself, however, do not support His exaltat</w:t>
      </w:r>
      <w:r w:rsidR="009A4CF7">
        <w:t>i</w:t>
      </w:r>
      <w:r>
        <w:t>on to the Godhead</w:t>
      </w:r>
      <w:r w:rsidR="009A4CF7">
        <w:t>.</w:t>
      </w:r>
      <w:r>
        <w:t xml:space="preserve"> As the Son, Christ clearly saw Himself in a role sub</w:t>
      </w:r>
      <w:r w:rsidR="009A4CF7">
        <w:t>or</w:t>
      </w:r>
      <w:r>
        <w:t xml:space="preserve">dinate to that of the Father. </w:t>
      </w:r>
    </w:p>
    <w:p w14:paraId="7FCFF1C0" w14:textId="77777777" w:rsidR="00544629" w:rsidRDefault="00544629" w:rsidP="00F013EB">
      <w:pPr>
        <w:pStyle w:val="NormalWeb"/>
        <w:spacing w:before="120" w:beforeAutospacing="0" w:after="120" w:afterAutospacing="0" w:line="300" w:lineRule="auto"/>
        <w:ind w:firstLine="720"/>
      </w:pPr>
      <w:r w:rsidRPr="000B3DCC">
        <w:t>In this paper</w:t>
      </w:r>
      <w:r>
        <w:t xml:space="preserve"> I offer a th</w:t>
      </w:r>
      <w:r w:rsidR="008D1942">
        <w:t>r</w:t>
      </w:r>
      <w:r>
        <w:t xml:space="preserve">ee-dimensional study of the historical, doctrinal, and comparative aspects </w:t>
      </w:r>
      <w:r w:rsidR="005B3668">
        <w:t>o</w:t>
      </w:r>
      <w:r>
        <w:t>f the deification of Jesus. I will first examine Paul</w:t>
      </w:r>
      <w:r w:rsidR="005B3668">
        <w:t>’</w:t>
      </w:r>
      <w:r>
        <w:t>s interpretation of Jesus to Gentile Christians to</w:t>
      </w:r>
      <w:r w:rsidR="005B3668">
        <w:t>gether with a contrasting inter</w:t>
      </w:r>
      <w:r>
        <w:t>p</w:t>
      </w:r>
      <w:r w:rsidR="005B3668">
        <w:t>r</w:t>
      </w:r>
      <w:r>
        <w:t xml:space="preserve">etation set forth by Christ Himself. </w:t>
      </w:r>
      <w:r w:rsidR="003B6C86">
        <w:t>I</w:t>
      </w:r>
      <w:r>
        <w:t xml:space="preserve"> will also include the Gnostic Jesus, which touches indirectly on the </w:t>
      </w:r>
      <w:r w:rsidR="00627D4F">
        <w:t xml:space="preserve">Christological </w:t>
      </w:r>
      <w:r>
        <w:t xml:space="preserve">question. Third, I will review two major </w:t>
      </w:r>
      <w:r w:rsidR="009B6F20">
        <w:t xml:space="preserve">Christological </w:t>
      </w:r>
      <w:r w:rsidR="003B6C86">
        <w:t>c</w:t>
      </w:r>
      <w:r>
        <w:t>ontroversies: (</w:t>
      </w:r>
      <w:r w:rsidR="000B3DCC">
        <w:t>1</w:t>
      </w:r>
      <w:r>
        <w:t xml:space="preserve">) the schism of Arius and the development </w:t>
      </w:r>
      <w:r>
        <w:lastRenderedPageBreak/>
        <w:t>of the notion of trinity; and (2) the God-m</w:t>
      </w:r>
      <w:r w:rsidR="003B6C86">
        <w:t>a</w:t>
      </w:r>
      <w:r>
        <w:t>n debate at Cyril and Nesto</w:t>
      </w:r>
      <w:r w:rsidR="003B6C86">
        <w:t>riu</w:t>
      </w:r>
      <w:r>
        <w:t>s. These movements spanned a fou</w:t>
      </w:r>
      <w:r w:rsidR="003B6C86">
        <w:t>r</w:t>
      </w:r>
      <w:r>
        <w:t>-hundred yea</w:t>
      </w:r>
      <w:r w:rsidR="003B6C86">
        <w:t>r</w:t>
      </w:r>
      <w:r>
        <w:t xml:space="preserve"> period. In my comparative study I will present a Bahá’í perspective on the deification of Jesus and, where possible, make comparisons with the B</w:t>
      </w:r>
      <w:r w:rsidR="003B6C86">
        <w:t>ahá’í Faith on relevant issues.</w:t>
      </w:r>
    </w:p>
    <w:p w14:paraId="677A47B6" w14:textId="77777777" w:rsidR="00544629" w:rsidRDefault="00544629" w:rsidP="00F013EB">
      <w:pPr>
        <w:pStyle w:val="NormalWeb"/>
        <w:spacing w:before="120" w:beforeAutospacing="0" w:after="120" w:afterAutospacing="0" w:line="300" w:lineRule="auto"/>
        <w:ind w:firstLine="720"/>
      </w:pPr>
      <w:r w:rsidRPr="0047061A">
        <w:t>Bahá’í</w:t>
      </w:r>
      <w:r w:rsidR="005B3668" w:rsidRPr="0047061A">
        <w:t>-</w:t>
      </w:r>
      <w:r w:rsidRPr="0047061A">
        <w:t>Ch</w:t>
      </w:r>
      <w:r w:rsidR="005B3668" w:rsidRPr="0047061A">
        <w:t>r</w:t>
      </w:r>
      <w:r w:rsidRPr="0047061A">
        <w:t>istian</w:t>
      </w:r>
      <w:r>
        <w:t xml:space="preserve"> stud</w:t>
      </w:r>
      <w:r w:rsidR="005B3668">
        <w:t>i</w:t>
      </w:r>
      <w:r>
        <w:t>es are by no means new in the l</w:t>
      </w:r>
      <w:r w:rsidR="005B3668">
        <w:t>it</w:t>
      </w:r>
      <w:r>
        <w:t>e</w:t>
      </w:r>
      <w:r w:rsidR="005B3668">
        <w:t>r</w:t>
      </w:r>
      <w:r>
        <w:t>atu</w:t>
      </w:r>
      <w:r w:rsidR="005B3668">
        <w:t>r</w:t>
      </w:r>
      <w:r>
        <w:t>e o</w:t>
      </w:r>
      <w:r w:rsidR="005B3668">
        <w:t>f</w:t>
      </w:r>
      <w:r>
        <w:t xml:space="preserve"> the Bahá’í Faith. They promise, however, to be of continuing inte</w:t>
      </w:r>
      <w:r w:rsidR="005B3668">
        <w:t>r</w:t>
      </w:r>
      <w:r>
        <w:t xml:space="preserve">est as the Christian world comes to grips with the serious claims made by Bahá’u’lláh </w:t>
      </w:r>
      <w:r w:rsidR="00E64768">
        <w:t>to the followers of the Gospel.</w:t>
      </w:r>
    </w:p>
    <w:p w14:paraId="591DFFC9" w14:textId="77777777" w:rsidR="00E64768" w:rsidRPr="00E64768" w:rsidRDefault="00544629" w:rsidP="00F013EB">
      <w:pPr>
        <w:pStyle w:val="NormalWeb"/>
        <w:spacing w:before="120" w:beforeAutospacing="0" w:after="120" w:afterAutospacing="0" w:line="300" w:lineRule="auto"/>
        <w:rPr>
          <w:b/>
          <w:i/>
        </w:rPr>
      </w:pPr>
      <w:r w:rsidRPr="00E64768">
        <w:rPr>
          <w:b/>
          <w:i/>
        </w:rPr>
        <w:t>St. Paul and the Deific</w:t>
      </w:r>
      <w:r w:rsidR="00E64768" w:rsidRPr="00E64768">
        <w:rPr>
          <w:b/>
          <w:i/>
        </w:rPr>
        <w:t>a</w:t>
      </w:r>
      <w:r w:rsidRPr="00E64768">
        <w:rPr>
          <w:b/>
          <w:i/>
        </w:rPr>
        <w:t xml:space="preserve">tion </w:t>
      </w:r>
      <w:r w:rsidR="00E64768" w:rsidRPr="00E64768">
        <w:rPr>
          <w:b/>
          <w:i/>
        </w:rPr>
        <w:t>of Jes</w:t>
      </w:r>
      <w:r w:rsidR="00431E30">
        <w:rPr>
          <w:b/>
          <w:i/>
        </w:rPr>
        <w:t>us</w:t>
      </w:r>
      <w:r w:rsidR="00431E30">
        <w:rPr>
          <w:rStyle w:val="FootnoteReference"/>
          <w:b/>
          <w:i/>
        </w:rPr>
        <w:footnoteReference w:id="1"/>
      </w:r>
    </w:p>
    <w:p w14:paraId="6EEAA6B8" w14:textId="77777777" w:rsidR="0095579F" w:rsidRDefault="00F402DA" w:rsidP="00F013EB">
      <w:pPr>
        <w:pStyle w:val="NormalWeb"/>
        <w:spacing w:before="120" w:beforeAutospacing="0" w:after="120" w:afterAutospacing="0" w:line="300" w:lineRule="auto"/>
      </w:pPr>
      <w:r>
        <w:tab/>
      </w:r>
      <w:r w:rsidR="0047061A">
        <w:t xml:space="preserve">IN CHRISTIANITY </w:t>
      </w:r>
      <w:r w:rsidR="00544629">
        <w:t xml:space="preserve">the writings of Paul have had </w:t>
      </w:r>
      <w:r w:rsidR="000B3DCC">
        <w:t>a</w:t>
      </w:r>
      <w:r w:rsidR="00544629">
        <w:t xml:space="preserve"> de</w:t>
      </w:r>
      <w:r w:rsidR="00E64768">
        <w:t>termining</w:t>
      </w:r>
      <w:r w:rsidR="00544629">
        <w:t xml:space="preserve"> role </w:t>
      </w:r>
      <w:r w:rsidR="00E64768">
        <w:t>i</w:t>
      </w:r>
      <w:r w:rsidR="00544629">
        <w:t xml:space="preserve">n </w:t>
      </w:r>
      <w:r w:rsidR="00113F8C">
        <w:t>transmitting</w:t>
      </w:r>
      <w:r w:rsidR="00544629">
        <w:t xml:space="preserve"> a characteristic understanding of Christ. With the gradual demise of the Jewish wing of Christianity Paul</w:t>
      </w:r>
      <w:r w:rsidR="00113F8C">
        <w:t>’</w:t>
      </w:r>
      <w:r w:rsidR="00544629">
        <w:t>s Christology came to the forefront in the Christian understanding of Jesus</w:t>
      </w:r>
      <w:r w:rsidR="0047061A">
        <w:t>.</w:t>
      </w:r>
      <w:r w:rsidR="00544629">
        <w:t xml:space="preserve"> His glorification of Christ</w:t>
      </w:r>
      <w:r w:rsidR="00C26C65">
        <w:t>’</w:t>
      </w:r>
      <w:r w:rsidR="00544629">
        <w:t>s divinity has played a major role in the d</w:t>
      </w:r>
      <w:r w:rsidR="00113F8C">
        <w:t>eification</w:t>
      </w:r>
      <w:r w:rsidR="00544629">
        <w:t xml:space="preserve"> of Jesus</w:t>
      </w:r>
      <w:r w:rsidR="000E3C20">
        <w:t>.</w:t>
      </w:r>
      <w:r w:rsidR="00544629">
        <w:t xml:space="preserve"> If Christ taught the kingdom, it is true to say Pau</w:t>
      </w:r>
      <w:r w:rsidR="00113F8C">
        <w:t>l</w:t>
      </w:r>
      <w:r w:rsidR="00544629">
        <w:t xml:space="preserve"> </w:t>
      </w:r>
      <w:r w:rsidR="00113F8C">
        <w:t>taught Christ.</w:t>
      </w:r>
    </w:p>
    <w:p w14:paraId="3B0AE5D8" w14:textId="77777777" w:rsidR="00B77ED1" w:rsidRDefault="00544629" w:rsidP="00F013EB">
      <w:pPr>
        <w:pStyle w:val="NormalWeb"/>
        <w:spacing w:before="120" w:beforeAutospacing="0" w:after="120" w:afterAutospacing="0" w:line="300" w:lineRule="auto"/>
        <w:ind w:firstLine="720"/>
      </w:pPr>
      <w:r>
        <w:t xml:space="preserve">While generally enjoying </w:t>
      </w:r>
      <w:r w:rsidR="00113F8C">
        <w:t>w</w:t>
      </w:r>
      <w:r>
        <w:t>idespread acclaim among Christians, Paul has not escaped being a subjec</w:t>
      </w:r>
      <w:r w:rsidR="00113F8C">
        <w:t>t</w:t>
      </w:r>
      <w:r>
        <w:t xml:space="preserve"> of great controversy, both for his contempo</w:t>
      </w:r>
      <w:r w:rsidR="00113F8C">
        <w:t>ra</w:t>
      </w:r>
      <w:r>
        <w:t>ries and ours. His missionary journeys to Greece and Asia Min</w:t>
      </w:r>
      <w:r w:rsidR="00113F8C">
        <w:t>o</w:t>
      </w:r>
      <w:r>
        <w:t>r</w:t>
      </w:r>
      <w:r w:rsidR="00113F8C">
        <w:t>,</w:t>
      </w:r>
      <w:r>
        <w:t xml:space="preserve"> coupled with a sizeable corpus of theol</w:t>
      </w:r>
      <w:r w:rsidR="005E7298">
        <w:t>o</w:t>
      </w:r>
      <w:r>
        <w:t>gical writings, have earned him the adulation</w:t>
      </w:r>
      <w:r w:rsidR="00C26C65">
        <w:t>s</w:t>
      </w:r>
      <w:r>
        <w:t xml:space="preserve"> of some C</w:t>
      </w:r>
      <w:r w:rsidR="005E7298">
        <w:t>hri</w:t>
      </w:r>
      <w:r>
        <w:t>sti</w:t>
      </w:r>
      <w:r w:rsidR="005E7298">
        <w:t>an</w:t>
      </w:r>
      <w:r>
        <w:t>s as “the second founder of Christianity.</w:t>
      </w:r>
      <w:r w:rsidR="005E7298">
        <w:t>”</w:t>
      </w:r>
      <w:r w:rsidR="00C9694C" w:rsidRPr="00C9694C">
        <w:rPr>
          <w:rStyle w:val="FootnoteReference"/>
          <w:b/>
        </w:rPr>
        <w:footnoteReference w:id="2"/>
      </w:r>
      <w:r>
        <w:t xml:space="preserve"> Other more cri</w:t>
      </w:r>
      <w:r w:rsidR="005E7298">
        <w:t>tic</w:t>
      </w:r>
      <w:r>
        <w:t>al theologians have been less enthusiastic in their acclamation of Paul.</w:t>
      </w:r>
      <w:r w:rsidR="00C9694C" w:rsidRPr="00C9694C">
        <w:rPr>
          <w:rStyle w:val="FootnoteReference"/>
          <w:b/>
        </w:rPr>
        <w:footnoteReference w:id="3"/>
      </w:r>
      <w:r w:rsidRPr="00C9694C">
        <w:rPr>
          <w:b/>
        </w:rPr>
        <w:t xml:space="preserve"> </w:t>
      </w:r>
      <w:r w:rsidR="005E7298">
        <w:t>B</w:t>
      </w:r>
      <w:r>
        <w:t xml:space="preserve">asing his </w:t>
      </w:r>
      <w:r>
        <w:lastRenderedPageBreak/>
        <w:t>view an a study of Paul</w:t>
      </w:r>
      <w:r w:rsidR="005E7298">
        <w:t>’</w:t>
      </w:r>
      <w:r>
        <w:t>s epistles, one comparat</w:t>
      </w:r>
      <w:r w:rsidR="005E7298">
        <w:t>iv</w:t>
      </w:r>
      <w:r>
        <w:t>e religionist has referred to him as “The problem figure of primitive Christianity</w:t>
      </w:r>
      <w:r w:rsidR="005E7298">
        <w:t>”</w:t>
      </w:r>
      <w:r>
        <w:t xml:space="preserve"> who became embroiled with the pillars of the mother church at Jerusalem</w:t>
      </w:r>
      <w:r w:rsidR="005E7298">
        <w:t>-</w:t>
      </w:r>
      <w:r>
        <w:t>Pe</w:t>
      </w:r>
      <w:r w:rsidR="005E7298">
        <w:t>t</w:t>
      </w:r>
      <w:r>
        <w:t>er, James the Lord’s brother, and John</w:t>
      </w:r>
      <w:r w:rsidR="005E7298">
        <w:t>-</w:t>
      </w:r>
      <w:r>
        <w:t>ove</w:t>
      </w:r>
      <w:r w:rsidR="005E7298">
        <w:t>r</w:t>
      </w:r>
      <w:r>
        <w:t xml:space="preserve"> the teaching and admission of the Gentile Christians into the new faith.</w:t>
      </w:r>
      <w:r w:rsidR="00C9694C" w:rsidRPr="00C9694C">
        <w:rPr>
          <w:rStyle w:val="FootnoteReference"/>
          <w:b/>
        </w:rPr>
        <w:footnoteReference w:id="4"/>
      </w:r>
      <w:r>
        <w:t xml:space="preserve"> The first co</w:t>
      </w:r>
      <w:r w:rsidR="005E7298">
        <w:t>uncil of the primitive church, t</w:t>
      </w:r>
      <w:r>
        <w:t xml:space="preserve">he </w:t>
      </w:r>
      <w:r w:rsidR="00011655">
        <w:t>Jerusalem Council, was convened in the holy city (A.D. 49) to resolve the controversy.</w:t>
      </w:r>
      <w:r w:rsidR="00C9694C" w:rsidRPr="00C9694C">
        <w:rPr>
          <w:rStyle w:val="FootnoteReference"/>
          <w:b/>
        </w:rPr>
        <w:footnoteReference w:id="5"/>
      </w:r>
      <w:r w:rsidR="00011655">
        <w:t xml:space="preserve"> </w:t>
      </w:r>
    </w:p>
    <w:p w14:paraId="2C2052D5" w14:textId="77777777" w:rsidR="00B77ED1" w:rsidRDefault="00B77ED1" w:rsidP="00F013EB">
      <w:pPr>
        <w:pStyle w:val="NormalWeb"/>
        <w:spacing w:before="120" w:beforeAutospacing="0" w:after="120" w:afterAutospacing="0" w:line="300" w:lineRule="auto"/>
        <w:ind w:firstLine="720"/>
      </w:pPr>
      <w:r w:rsidRPr="00072FEC">
        <w:t>The writings</w:t>
      </w:r>
      <w:r>
        <w:t xml:space="preserve"> of the Apostle Paul effected a great transformation of Jesus from the Jesus of the synoptic gospels and of non-Pauline epistles in the New Testament. Paul recast Jesus of Nazareth, the Jewish Messiah of Israel, into a deified Lord bearing all the traces of a savior-god of a Greek mystery cult. Styling himself Apostle “among the Gentiles” (Gal. 1:16; Acts 9:15), Paul determined to adapt his presentation of Jesus to the Greek Gentile world in which he lived, a radically different religious milieu from the Jewish one. What is often overlooked, however, in Paul’s claim to mission to the Gentiles is that Peter claimed precisely this mission for himself at the Jerusalem Council, a mission he states he had “in the early days.”</w:t>
      </w:r>
      <w:r w:rsidR="00D81EFB">
        <w:t xml:space="preserve"> </w:t>
      </w:r>
      <w:r w:rsidR="00C9694C" w:rsidRPr="00C9694C">
        <w:rPr>
          <w:rStyle w:val="FootnoteReference"/>
          <w:b/>
        </w:rPr>
        <w:footnoteReference w:id="6"/>
      </w:r>
    </w:p>
    <w:p w14:paraId="6F16742B" w14:textId="77777777" w:rsidR="00B77ED1" w:rsidRDefault="00B77ED1" w:rsidP="00F013EB">
      <w:pPr>
        <w:pStyle w:val="NormalWeb"/>
        <w:spacing w:before="120" w:beforeAutospacing="0" w:after="120" w:afterAutospacing="0" w:line="300" w:lineRule="auto"/>
        <w:ind w:firstLine="720"/>
      </w:pPr>
      <w:r w:rsidRPr="00072FEC">
        <w:t>For Paul</w:t>
      </w:r>
      <w:r>
        <w:t xml:space="preserve"> to have preached Christ as the Jewish Messiah to the Greek-speaking Gentiles would have been futile. The messiahship was a virtually meaningless concept to the Gentile world that Paul determined to evangelize. To them there was no long-standing tradition of a Davidic kingship that promised an anointed of God who would rise up and vindicate Israel. Furthermore, certain of the Ebionite Christians, who were dominant in the apostolic church until Romano-Pauline Christianity emerged, reconciled their faith in Christ with temple worship as well as with circumcision and dietary and purification laws.</w:t>
      </w:r>
      <w:r w:rsidR="00FB0BA3" w:rsidRPr="00FB0BA3">
        <w:rPr>
          <w:rStyle w:val="FootnoteReference"/>
          <w:b/>
        </w:rPr>
        <w:footnoteReference w:id="7"/>
      </w:r>
      <w:r>
        <w:t xml:space="preserve"> Accordingly, he preached “another </w:t>
      </w:r>
      <w:r>
        <w:lastRenderedPageBreak/>
        <w:t xml:space="preserve">Jesus,” one whom those living in the Greek-Gentile world could understand and to whom they </w:t>
      </w:r>
      <w:r w:rsidRPr="00A045B3">
        <w:t>could relate</w:t>
      </w:r>
      <w:r>
        <w:t>.</w:t>
      </w:r>
      <w:r w:rsidR="00FB0BA3" w:rsidRPr="00FB0BA3">
        <w:rPr>
          <w:rStyle w:val="FootnoteReference"/>
          <w:b/>
        </w:rPr>
        <w:footnoteReference w:id="8"/>
      </w:r>
      <w:r w:rsidRPr="00FB0BA3">
        <w:rPr>
          <w:b/>
        </w:rPr>
        <w:t xml:space="preserve"> </w:t>
      </w:r>
    </w:p>
    <w:p w14:paraId="4B7377B4" w14:textId="77777777" w:rsidR="00B77ED1" w:rsidRDefault="00B77ED1" w:rsidP="00F013EB">
      <w:pPr>
        <w:pStyle w:val="NormalWeb"/>
        <w:spacing w:before="120" w:beforeAutospacing="0" w:after="120" w:afterAutospacing="0" w:line="300" w:lineRule="auto"/>
        <w:ind w:firstLine="720"/>
      </w:pPr>
      <w:r>
        <w:t xml:space="preserve">The Jesus that Paul preached was a deified savior, One Who could rescue a hapless humanity from the power of sin. It was precisely this presentation of Jesus as redeemer of men’s sins and purveyor of immortality to those who accepted Him in a personalized faith that has prevailed in western Christendom ever </w:t>
      </w:r>
      <w:r w:rsidRPr="00FE1054">
        <w:t>since</w:t>
      </w:r>
      <w:r>
        <w:t>.</w:t>
      </w:r>
    </w:p>
    <w:p w14:paraId="27C40564" w14:textId="77777777" w:rsidR="00AB624F" w:rsidRDefault="00544629" w:rsidP="00F013EB">
      <w:pPr>
        <w:pStyle w:val="NormalWeb"/>
        <w:spacing w:before="120" w:beforeAutospacing="0" w:after="120" w:afterAutospacing="0" w:line="300" w:lineRule="auto"/>
        <w:ind w:firstLine="720"/>
      </w:pPr>
      <w:r w:rsidRPr="0022699D">
        <w:t xml:space="preserve">The </w:t>
      </w:r>
      <w:r w:rsidR="001E7ACD" w:rsidRPr="0022699D">
        <w:t>r</w:t>
      </w:r>
      <w:r w:rsidRPr="0022699D">
        <w:t>e</w:t>
      </w:r>
      <w:r w:rsidR="001E7ACD" w:rsidRPr="0022699D">
        <w:t>l</w:t>
      </w:r>
      <w:r w:rsidRPr="0022699D">
        <w:t>igious</w:t>
      </w:r>
      <w:r>
        <w:t xml:space="preserve"> background of the Gentiles explains why Paul</w:t>
      </w:r>
      <w:r w:rsidR="00EE084A">
        <w:t>’</w:t>
      </w:r>
      <w:r>
        <w:t xml:space="preserve">s approach was so successful. The Greek-speaking Gentiles whom Paul addressed held that the flesh was a degraded form of spirit, a </w:t>
      </w:r>
      <w:r w:rsidR="00B6439E">
        <w:t>“</w:t>
      </w:r>
      <w:r>
        <w:t>tomb</w:t>
      </w:r>
      <w:r w:rsidR="00B6439E">
        <w:t>”</w:t>
      </w:r>
      <w:r>
        <w:t xml:space="preserve"> as Plato had taught, from which the sp</w:t>
      </w:r>
      <w:r w:rsidR="00B6439E">
        <w:t>ir</w:t>
      </w:r>
      <w:r>
        <w:t xml:space="preserve">it longed to escape. Its liberation was only final and complete </w:t>
      </w:r>
      <w:r w:rsidR="00AB624F">
        <w:t>w</w:t>
      </w:r>
      <w:r>
        <w:t>ith death, and there the prospec</w:t>
      </w:r>
      <w:r w:rsidR="00B6439E">
        <w:t xml:space="preserve">ts </w:t>
      </w:r>
      <w:r>
        <w:t xml:space="preserve">of Hades </w:t>
      </w:r>
      <w:r w:rsidR="00B6439E">
        <w:t>w</w:t>
      </w:r>
      <w:r>
        <w:t>ere dark and terrifying.</w:t>
      </w:r>
      <w:r w:rsidR="00A5631B" w:rsidRPr="00A5631B">
        <w:rPr>
          <w:rStyle w:val="FootnoteReference"/>
          <w:b/>
        </w:rPr>
        <w:footnoteReference w:id="9"/>
      </w:r>
      <w:r>
        <w:t xml:space="preserve"> The Gentiles, then, had bleak prospects for the future </w:t>
      </w:r>
      <w:r w:rsidR="00B6439E">
        <w:t>l</w:t>
      </w:r>
      <w:r>
        <w:t>ife and longed for delive</w:t>
      </w:r>
      <w:r w:rsidR="00B6439E">
        <w:t>ran</w:t>
      </w:r>
      <w:r>
        <w:t xml:space="preserve">ce </w:t>
      </w:r>
      <w:r w:rsidR="00B6439E">
        <w:t>fr</w:t>
      </w:r>
      <w:r>
        <w:t>om sinful corporeal existence</w:t>
      </w:r>
      <w:r w:rsidR="00B6439E">
        <w:t xml:space="preserve">. </w:t>
      </w:r>
      <w:r>
        <w:t>In sear</w:t>
      </w:r>
      <w:r w:rsidR="00B6439E">
        <w:t>ch</w:t>
      </w:r>
      <w:r>
        <w:t xml:space="preserve"> of solace they had turned to the Greek myste</w:t>
      </w:r>
      <w:r w:rsidR="00B6439E">
        <w:t>r</w:t>
      </w:r>
      <w:r>
        <w:t xml:space="preserve">y </w:t>
      </w:r>
      <w:r w:rsidR="00B6439E">
        <w:t>cults</w:t>
      </w:r>
      <w:r>
        <w:t xml:space="preserve"> that p</w:t>
      </w:r>
      <w:r w:rsidR="00B6439E">
        <w:t>romise</w:t>
      </w:r>
      <w:r>
        <w:t>d them a means of escape. The mystery religions held that by choosing and worshiping a personalized deity, a savi</w:t>
      </w:r>
      <w:r w:rsidR="00B6439E">
        <w:t>o</w:t>
      </w:r>
      <w:r>
        <w:t xml:space="preserve">r, a man could escape death and </w:t>
      </w:r>
      <w:r w:rsidR="00B6439E">
        <w:t>w</w:t>
      </w:r>
      <w:r>
        <w:t>in eternal life.</w:t>
      </w:r>
      <w:r w:rsidR="00A5631B" w:rsidRPr="00DE551C">
        <w:rPr>
          <w:rStyle w:val="FootnoteReference"/>
          <w:b/>
        </w:rPr>
        <w:footnoteReference w:id="10"/>
      </w:r>
      <w:r>
        <w:t xml:space="preserve"> The p</w:t>
      </w:r>
      <w:r w:rsidR="00B6439E">
        <w:t>ersonalize</w:t>
      </w:r>
      <w:r>
        <w:t>d worship of a savio</w:t>
      </w:r>
      <w:r w:rsidR="00B6439E">
        <w:t>r</w:t>
      </w:r>
      <w:r>
        <w:t xml:space="preserve"> was accompanied by sacramental rituals that bea</w:t>
      </w:r>
      <w:r w:rsidR="00356603">
        <w:t>r</w:t>
      </w:r>
      <w:r>
        <w:t xml:space="preserve"> striking resemblances to Christian sacraments.</w:t>
      </w:r>
      <w:r w:rsidR="00DE551C" w:rsidRPr="008525C2">
        <w:rPr>
          <w:rStyle w:val="FootnoteReference"/>
          <w:b/>
        </w:rPr>
        <w:footnoteReference w:id="11"/>
      </w:r>
      <w:r w:rsidR="00B6439E" w:rsidRPr="008525C2">
        <w:rPr>
          <w:b/>
        </w:rPr>
        <w:t xml:space="preserve"> </w:t>
      </w:r>
      <w:r>
        <w:t>Through such savior wo</w:t>
      </w:r>
      <w:r w:rsidR="00B6439E">
        <w:t>r</w:t>
      </w:r>
      <w:r>
        <w:t xml:space="preserve">ship and sacramental </w:t>
      </w:r>
      <w:r w:rsidR="00B6439E">
        <w:t>o</w:t>
      </w:r>
      <w:r>
        <w:t>bservances the devotee could be Lat</w:t>
      </w:r>
      <w:r w:rsidR="00B6439E">
        <w:t>,</w:t>
      </w:r>
      <w:r>
        <w:t xml:space="preserve"> </w:t>
      </w:r>
      <w:r w:rsidRPr="00B6439E">
        <w:rPr>
          <w:i/>
        </w:rPr>
        <w:t>r</w:t>
      </w:r>
      <w:r w:rsidR="00B6439E" w:rsidRPr="00B6439E">
        <w:rPr>
          <w:i/>
        </w:rPr>
        <w:t>enatus</w:t>
      </w:r>
      <w:r>
        <w:t xml:space="preserve"> ‘bo</w:t>
      </w:r>
      <w:r w:rsidR="00B6439E">
        <w:t>rn</w:t>
      </w:r>
      <w:r>
        <w:t xml:space="preserve"> again’ into a new spiritual existence. Thus, like the mystery religio</w:t>
      </w:r>
      <w:r w:rsidR="00B6439E">
        <w:t>n</w:t>
      </w:r>
      <w:r>
        <w:t>s, Pauline Christianity of</w:t>
      </w:r>
      <w:r w:rsidR="00B6439E">
        <w:t>fered</w:t>
      </w:r>
      <w:r>
        <w:t xml:space="preserve"> itself as a religion of bondage and </w:t>
      </w:r>
      <w:r>
        <w:lastRenderedPageBreak/>
        <w:t>liberation, through a deified savio</w:t>
      </w:r>
      <w:r w:rsidR="00B6439E">
        <w:t>r.</w:t>
      </w:r>
      <w:r>
        <w:t xml:space="preserve"> As such it thoroughly satisfied the Gentile penchant f</w:t>
      </w:r>
      <w:r w:rsidR="00B6439E">
        <w:t>or</w:t>
      </w:r>
      <w:r>
        <w:t xml:space="preserve"> personal relig</w:t>
      </w:r>
      <w:r w:rsidR="00B6439E">
        <w:t>i</w:t>
      </w:r>
      <w:r>
        <w:t xml:space="preserve">on. </w:t>
      </w:r>
    </w:p>
    <w:p w14:paraId="260F8E5E" w14:textId="77777777" w:rsidR="00544629" w:rsidRDefault="00544629" w:rsidP="00F013EB">
      <w:pPr>
        <w:pStyle w:val="NormalWeb"/>
        <w:spacing w:before="120" w:beforeAutospacing="0" w:after="120" w:afterAutospacing="0" w:line="300" w:lineRule="auto"/>
        <w:ind w:firstLine="720"/>
      </w:pPr>
      <w:r>
        <w:t>The p</w:t>
      </w:r>
      <w:r w:rsidR="00AB624F">
        <w:t>r</w:t>
      </w:r>
      <w:r>
        <w:t>esentation of Ch</w:t>
      </w:r>
      <w:r w:rsidR="00AB624F">
        <w:t>r</w:t>
      </w:r>
      <w:r>
        <w:t>ist t</w:t>
      </w:r>
      <w:r w:rsidR="00AB624F">
        <w:t>o</w:t>
      </w:r>
      <w:r>
        <w:t xml:space="preserve"> the Gentiles as the redeemer of their sins and purveyor of immortality was one of Paul’s central themes, </w:t>
      </w:r>
      <w:r w:rsidR="00AB624F">
        <w:t>a</w:t>
      </w:r>
      <w:r>
        <w:t xml:space="preserve"> theme known otherwise as “vicarious atonement</w:t>
      </w:r>
      <w:r w:rsidR="00AB624F">
        <w:t>”</w:t>
      </w:r>
      <w:r>
        <w:t xml:space="preserve"> (at-one-ment), man</w:t>
      </w:r>
      <w:r w:rsidR="00AB624F">
        <w:t>’</w:t>
      </w:r>
      <w:r>
        <w:t xml:space="preserve">s reconciliation </w:t>
      </w:r>
      <w:r w:rsidR="00AB624F">
        <w:t>w</w:t>
      </w:r>
      <w:r>
        <w:t xml:space="preserve">ith God through the sacrificial death of Jesus: </w:t>
      </w:r>
      <w:r w:rsidR="00AB624F">
        <w:t>“</w:t>
      </w:r>
      <w:r>
        <w:t>Since all have sinned and fall short of the glory of God, they are justified by His grace as a gift, th</w:t>
      </w:r>
      <w:r w:rsidR="00AB624F">
        <w:t>r</w:t>
      </w:r>
      <w:r>
        <w:t xml:space="preserve">ough the </w:t>
      </w:r>
      <w:r w:rsidR="00AB624F">
        <w:t>rede</w:t>
      </w:r>
      <w:r>
        <w:t xml:space="preserve">mption which </w:t>
      </w:r>
      <w:r w:rsidR="00AB624F">
        <w:t>i</w:t>
      </w:r>
      <w:r>
        <w:t xml:space="preserve">s in Christ Jesus, </w:t>
      </w:r>
      <w:r w:rsidR="00AB624F">
        <w:t>w</w:t>
      </w:r>
      <w:r>
        <w:t>h</w:t>
      </w:r>
      <w:r w:rsidR="00AB624F">
        <w:t>o</w:t>
      </w:r>
      <w:r>
        <w:t>m God put fo</w:t>
      </w:r>
      <w:r w:rsidR="00AB624F">
        <w:t>r</w:t>
      </w:r>
      <w:r>
        <w:t>ward as an expi</w:t>
      </w:r>
      <w:r w:rsidR="00AB624F">
        <w:t>ati</w:t>
      </w:r>
      <w:r>
        <w:t>on by his blood, to be received by faith” (Rom. 3:23</w:t>
      </w:r>
      <w:r w:rsidR="00AB624F">
        <w:t>-</w:t>
      </w:r>
      <w:r>
        <w:t>25)</w:t>
      </w:r>
      <w:r w:rsidR="00AB624F">
        <w:t>.</w:t>
      </w:r>
      <w:r>
        <w:t xml:space="preserve"> Paul’s writings are tho</w:t>
      </w:r>
      <w:r w:rsidR="00AB624F">
        <w:t>r</w:t>
      </w:r>
      <w:r>
        <w:t>oughly imbued with the consciousness of men</w:t>
      </w:r>
      <w:r w:rsidR="00AB624F">
        <w:t>’</w:t>
      </w:r>
      <w:r>
        <w:t>s sins, a concern that occupies the opening chapters of the Epistle to the Romans. Although St. Augustine fully elaborated the doctrine, Paul</w:t>
      </w:r>
      <w:r w:rsidR="000460B1">
        <w:t>’</w:t>
      </w:r>
      <w:r>
        <w:t>s understanding of the Genesis account of the fall of Adam (Gen. 3) qualifies him as the originator of the doctrine of o</w:t>
      </w:r>
      <w:r w:rsidR="000460B1">
        <w:t>r</w:t>
      </w:r>
      <w:r>
        <w:t>iginal sin (Rom. 5:12</w:t>
      </w:r>
      <w:r w:rsidR="000460B1">
        <w:t>-</w:t>
      </w:r>
      <w:r>
        <w:t>21).</w:t>
      </w:r>
      <w:r w:rsidR="000460B1">
        <w:t xml:space="preserve"> Whatever one may think of Paul’s o</w:t>
      </w:r>
      <w:r>
        <w:t>ther doctrines, his preoccupation with sin has, in my view, s</w:t>
      </w:r>
      <w:r w:rsidR="000460B1">
        <w:t>ta</w:t>
      </w:r>
      <w:r>
        <w:t xml:space="preserve">mped Christianity with much of the morbidity that is sometimes found in it </w:t>
      </w:r>
    </w:p>
    <w:p w14:paraId="3DD5791A" w14:textId="77777777" w:rsidR="00A5631B" w:rsidRDefault="00A5631B" w:rsidP="00F013EB">
      <w:pPr>
        <w:pStyle w:val="NormalWeb"/>
        <w:spacing w:before="120" w:beforeAutospacing="0" w:after="120" w:afterAutospacing="0" w:line="300" w:lineRule="auto"/>
        <w:rPr>
          <w:b/>
          <w:sz w:val="20"/>
          <w:szCs w:val="20"/>
        </w:rPr>
      </w:pPr>
    </w:p>
    <w:p w14:paraId="4193A2D4" w14:textId="77777777" w:rsidR="00544629" w:rsidRPr="00EB17E7" w:rsidRDefault="00544629" w:rsidP="00F013EB">
      <w:pPr>
        <w:pStyle w:val="NormalWeb"/>
        <w:spacing w:before="120" w:beforeAutospacing="0" w:after="120" w:afterAutospacing="0" w:line="300" w:lineRule="auto"/>
        <w:rPr>
          <w:sz w:val="20"/>
          <w:szCs w:val="20"/>
        </w:rPr>
      </w:pPr>
    </w:p>
    <w:p w14:paraId="57DA6453" w14:textId="77777777" w:rsidR="00544629" w:rsidRDefault="00544629" w:rsidP="00F013EB">
      <w:pPr>
        <w:pStyle w:val="NormalWeb"/>
        <w:spacing w:before="120" w:beforeAutospacing="0" w:after="120" w:afterAutospacing="0" w:line="300" w:lineRule="auto"/>
        <w:ind w:firstLine="720"/>
      </w:pPr>
      <w:r>
        <w:t>In a bold departure from Judaism Paul taught that faith in Christ</w:t>
      </w:r>
      <w:r w:rsidR="002433C7">
        <w:t>’</w:t>
      </w:r>
      <w:r>
        <w:t>s sacrificial death freed the believer from the constraints of Jewish law (Ro</w:t>
      </w:r>
      <w:r w:rsidR="002433C7">
        <w:t>m.</w:t>
      </w:r>
      <w:r>
        <w:t xml:space="preserve"> 7:6). Paul, however, was inconsistent in his stand on the law. At the request of James he obse</w:t>
      </w:r>
      <w:r w:rsidR="00C66424">
        <w:t>rve</w:t>
      </w:r>
      <w:r>
        <w:t>d the rites of purification in the temple as a proof of his Jewish orthodoxy to the Jewis</w:t>
      </w:r>
      <w:r w:rsidR="00C66424">
        <w:t>h</w:t>
      </w:r>
      <w:r>
        <w:t>-Ch</w:t>
      </w:r>
      <w:r w:rsidR="00C66424">
        <w:t>r</w:t>
      </w:r>
      <w:r>
        <w:t>istians of Jerusalem (Acts 21:21</w:t>
      </w:r>
      <w:r w:rsidR="009B33E9">
        <w:t>-</w:t>
      </w:r>
      <w:r>
        <w:t xml:space="preserve">26). </w:t>
      </w:r>
      <w:r w:rsidR="009B33E9">
        <w:t>T</w:t>
      </w:r>
      <w:r>
        <w:t>he Acts versi</w:t>
      </w:r>
      <w:r w:rsidR="009B33E9">
        <w:t>o</w:t>
      </w:r>
      <w:r>
        <w:t>n of the Jerusalem Council also states that Paul agreed to Jewish dietary laws. Howeve</w:t>
      </w:r>
      <w:r w:rsidR="009B33E9">
        <w:t>r</w:t>
      </w:r>
      <w:r>
        <w:t>, in a dif</w:t>
      </w:r>
      <w:r w:rsidR="009B33E9">
        <w:t>fer</w:t>
      </w:r>
      <w:r>
        <w:t xml:space="preserve">ing account Paul states that he reached a compromise with the Jerusalem elders only on the point of maintaining </w:t>
      </w:r>
      <w:r w:rsidR="009B33E9">
        <w:t>c</w:t>
      </w:r>
      <w:r>
        <w:t>ontributions to the mother church in Jerusalem. To a mo</w:t>
      </w:r>
      <w:r w:rsidR="009B33E9">
        <w:t>r</w:t>
      </w:r>
      <w:r>
        <w:t>e o</w:t>
      </w:r>
      <w:r w:rsidR="009B33E9">
        <w:t>r</w:t>
      </w:r>
      <w:r>
        <w:t xml:space="preserve">thodox group at </w:t>
      </w:r>
      <w:r w:rsidR="009B33E9">
        <w:t>J</w:t>
      </w:r>
      <w:r>
        <w:t>e</w:t>
      </w:r>
      <w:r w:rsidR="009B33E9">
        <w:t>r</w:t>
      </w:r>
      <w:r>
        <w:t>usalem, probably the Judaizers</w:t>
      </w:r>
      <w:r w:rsidR="00B97B13">
        <w:t>,</w:t>
      </w:r>
      <w:r>
        <w:t xml:space="preserve"> Paul levels the ch</w:t>
      </w:r>
      <w:r w:rsidR="009B33E9">
        <w:t>ar</w:t>
      </w:r>
      <w:r>
        <w:t xml:space="preserve">ge of </w:t>
      </w:r>
      <w:r w:rsidR="009B33E9">
        <w:t>“</w:t>
      </w:r>
      <w:r>
        <w:t>false brethren</w:t>
      </w:r>
      <w:r w:rsidR="009B33E9">
        <w:t>”</w:t>
      </w:r>
      <w:r>
        <w:t xml:space="preserve"> and </w:t>
      </w:r>
      <w:r w:rsidR="009B33E9">
        <w:t>s</w:t>
      </w:r>
      <w:r>
        <w:t>tates that “to them we did not yield submission even for a moment</w:t>
      </w:r>
      <w:r w:rsidR="009B33E9">
        <w:t>”</w:t>
      </w:r>
      <w:r>
        <w:t xml:space="preserve"> (Gal. 2:5). </w:t>
      </w:r>
    </w:p>
    <w:p w14:paraId="70479EAA" w14:textId="77777777" w:rsidR="00544629" w:rsidRDefault="007B61E0" w:rsidP="00F013EB">
      <w:pPr>
        <w:pStyle w:val="NormalWeb"/>
        <w:spacing w:before="120" w:beforeAutospacing="0" w:after="120" w:afterAutospacing="0" w:line="300" w:lineRule="auto"/>
        <w:ind w:firstLine="720"/>
      </w:pPr>
      <w:r>
        <w:t>Paul’s teaching of the bodily r</w:t>
      </w:r>
      <w:r w:rsidR="00544629">
        <w:t>esurrec</w:t>
      </w:r>
      <w:r>
        <w:t>ti</w:t>
      </w:r>
      <w:r w:rsidR="00544629">
        <w:t>on of Jesus also pa</w:t>
      </w:r>
      <w:r>
        <w:t>r</w:t>
      </w:r>
      <w:r w:rsidR="00544629">
        <w:t>alleled the myste</w:t>
      </w:r>
      <w:r>
        <w:t>r</w:t>
      </w:r>
      <w:r w:rsidR="00544629">
        <w:t>y cul</w:t>
      </w:r>
      <w:r>
        <w:t>ts.</w:t>
      </w:r>
      <w:r w:rsidR="00544629">
        <w:t xml:space="preserve"> Like the resurrected </w:t>
      </w:r>
      <w:r>
        <w:t>s</w:t>
      </w:r>
      <w:r w:rsidR="00544629">
        <w:t>aviors, Isis, Attis, or Mith</w:t>
      </w:r>
      <w:r>
        <w:t>r</w:t>
      </w:r>
      <w:r w:rsidR="00544629">
        <w:t>a, Paul taught Christ</w:t>
      </w:r>
      <w:r>
        <w:t>’</w:t>
      </w:r>
      <w:r w:rsidR="00544629">
        <w:t xml:space="preserve">s bodily </w:t>
      </w:r>
      <w:r>
        <w:t>r</w:t>
      </w:r>
      <w:r w:rsidR="00544629">
        <w:t>esu</w:t>
      </w:r>
      <w:r>
        <w:t>rr</w:t>
      </w:r>
      <w:r w:rsidR="00544629">
        <w:t>ection mystery as a proof of His deity. Mystical union with Jesus was of</w:t>
      </w:r>
      <w:r>
        <w:t>fer</w:t>
      </w:r>
      <w:r w:rsidR="00544629">
        <w:t>ed to the believe</w:t>
      </w:r>
      <w:r>
        <w:t>r</w:t>
      </w:r>
      <w:r w:rsidR="00544629">
        <w:t xml:space="preserve"> through the ritual of imme</w:t>
      </w:r>
      <w:r>
        <w:t>r</w:t>
      </w:r>
      <w:r w:rsidR="00544629">
        <w:t>sion baptism, from which the neophyte Christian emerged a new spi</w:t>
      </w:r>
      <w:r>
        <w:t>ritua</w:t>
      </w:r>
      <w:r w:rsidR="00544629">
        <w:t>l being, as Christ had emerged immortal from the grave (Rom. 6:1</w:t>
      </w:r>
      <w:r>
        <w:t>-1</w:t>
      </w:r>
      <w:r w:rsidR="00544629">
        <w:t xml:space="preserve">1). </w:t>
      </w:r>
    </w:p>
    <w:p w14:paraId="069EC9C9" w14:textId="77777777" w:rsidR="00544629" w:rsidRDefault="00544629" w:rsidP="00F013EB">
      <w:pPr>
        <w:pStyle w:val="NormalWeb"/>
        <w:spacing w:before="120" w:beforeAutospacing="0" w:after="120" w:afterAutospacing="0" w:line="300" w:lineRule="auto"/>
        <w:ind w:firstLine="720"/>
      </w:pPr>
      <w:r>
        <w:t>Paul’s interpretation of Ch</w:t>
      </w:r>
      <w:r w:rsidR="005B58CB">
        <w:t>r</w:t>
      </w:r>
      <w:r>
        <w:t>ist to the Gentiles contained an</w:t>
      </w:r>
      <w:r w:rsidR="00034C9E">
        <w:t>other radical departure from Isr</w:t>
      </w:r>
      <w:r w:rsidR="00090685">
        <w:t>aelite religion. This w</w:t>
      </w:r>
      <w:r>
        <w:t xml:space="preserve">as his presentation of Christ as God. Paul </w:t>
      </w:r>
      <w:r w:rsidR="00090685">
        <w:t>p</w:t>
      </w:r>
      <w:r>
        <w:t>resent</w:t>
      </w:r>
      <w:r w:rsidR="00090685">
        <w:t>s</w:t>
      </w:r>
      <w:r>
        <w:t xml:space="preserve"> Christ as God th</w:t>
      </w:r>
      <w:r w:rsidR="00090685">
        <w:t>ro</w:t>
      </w:r>
      <w:r>
        <w:t xml:space="preserve">ugh two main modes: by blurring the distinction between Christ and God, and by conferring upon Jesus attributes normally </w:t>
      </w:r>
      <w:r w:rsidR="00090685">
        <w:t>r</w:t>
      </w:r>
      <w:r>
        <w:t>ese</w:t>
      </w:r>
      <w:r w:rsidR="00090685">
        <w:t>r</w:t>
      </w:r>
      <w:r>
        <w:t xml:space="preserve">ved for God alone. </w:t>
      </w:r>
    </w:p>
    <w:p w14:paraId="14AFD866" w14:textId="77777777" w:rsidR="00544629" w:rsidRDefault="00544629" w:rsidP="00F013EB">
      <w:pPr>
        <w:pStyle w:val="NormalWeb"/>
        <w:spacing w:before="120" w:beforeAutospacing="0" w:after="120" w:afterAutospacing="0" w:line="300" w:lineRule="auto"/>
        <w:ind w:firstLine="720"/>
      </w:pPr>
      <w:r>
        <w:t xml:space="preserve">In the Greek version of the Torah, the Septuagint, the most common name for God was </w:t>
      </w:r>
      <w:r w:rsidR="00A44098" w:rsidRPr="00A44098">
        <w:rPr>
          <w:i/>
        </w:rPr>
        <w:t>kyrios</w:t>
      </w:r>
      <w:r>
        <w:t xml:space="preserve"> </w:t>
      </w:r>
      <w:r w:rsidR="00A44098">
        <w:t>‘</w:t>
      </w:r>
      <w:r>
        <w:t>Lo</w:t>
      </w:r>
      <w:r w:rsidR="00A44098">
        <w:t>r</w:t>
      </w:r>
      <w:r>
        <w:t>d’. The mystery cults also called their savio</w:t>
      </w:r>
      <w:r w:rsidR="00A44098">
        <w:t>r</w:t>
      </w:r>
      <w:r>
        <w:t xml:space="preserve">s </w:t>
      </w:r>
      <w:r w:rsidR="00A44098">
        <w:t>“</w:t>
      </w:r>
      <w:r>
        <w:t>Lord.</w:t>
      </w:r>
      <w:r w:rsidR="00A44098">
        <w:t>”</w:t>
      </w:r>
      <w:r>
        <w:t xml:space="preserve"> Paul, in his epistles, freely </w:t>
      </w:r>
      <w:r>
        <w:lastRenderedPageBreak/>
        <w:t>applies the term to Jesus</w:t>
      </w:r>
      <w:r w:rsidR="00DA4AB7">
        <w:t>.</w:t>
      </w:r>
      <w:r>
        <w:t xml:space="preserve"> For example, the promise of the </w:t>
      </w:r>
      <w:r w:rsidR="00DA4AB7">
        <w:t>J</w:t>
      </w:r>
      <w:r>
        <w:t>ewish p</w:t>
      </w:r>
      <w:r w:rsidR="00DA4AB7">
        <w:t>r</w:t>
      </w:r>
      <w:r>
        <w:t xml:space="preserve">ophet Joel that </w:t>
      </w:r>
      <w:r w:rsidR="00DA4AB7">
        <w:t>“</w:t>
      </w:r>
      <w:r>
        <w:t>Everyone who calls upon the name of the Lo</w:t>
      </w:r>
      <w:r w:rsidR="00DA4AB7">
        <w:t>r</w:t>
      </w:r>
      <w:r>
        <w:t xml:space="preserve">d </w:t>
      </w:r>
      <w:r w:rsidR="00DA4AB7">
        <w:t>w</w:t>
      </w:r>
      <w:r>
        <w:t>ill be saved</w:t>
      </w:r>
      <w:r w:rsidR="00DA4AB7">
        <w:t>”</w:t>
      </w:r>
      <w:r w:rsidR="00D02A37">
        <w:t xml:space="preserve"> </w:t>
      </w:r>
      <w:r>
        <w:t>(2:32) Paul t</w:t>
      </w:r>
      <w:r w:rsidR="00D02A37">
        <w:t>r</w:t>
      </w:r>
      <w:r>
        <w:t>ansposes and applies to Jesus (Rom. 10:9)</w:t>
      </w:r>
      <w:r w:rsidR="00D02A37">
        <w:t>.</w:t>
      </w:r>
      <w:r>
        <w:t xml:space="preserve"> F</w:t>
      </w:r>
      <w:r w:rsidR="00D02A37">
        <w:t>or</w:t>
      </w:r>
      <w:r>
        <w:t xml:space="preserve"> Paul Christ’s prophetic station no</w:t>
      </w:r>
      <w:r w:rsidR="00D02A37">
        <w:t>t only eclipsed that of Moses, “</w:t>
      </w:r>
      <w:r>
        <w:t>Jesus has been counted worthy of as much more glory than Moses" (Heb. 3</w:t>
      </w:r>
      <w:r w:rsidR="00D02A37">
        <w:t>:</w:t>
      </w:r>
      <w:r>
        <w:t>3)</w:t>
      </w:r>
      <w:r w:rsidR="00D02A37">
        <w:t>,</w:t>
      </w:r>
      <w:r>
        <w:t xml:space="preserve"> but it took </w:t>
      </w:r>
      <w:r w:rsidR="00D02A37">
        <w:t>o</w:t>
      </w:r>
      <w:r>
        <w:t>n a cosmological function reserved for God alone</w:t>
      </w:r>
      <w:r w:rsidR="00D02A37">
        <w:t xml:space="preserve">, </w:t>
      </w:r>
      <w:r>
        <w:t>that of creation itself</w:t>
      </w:r>
      <w:r w:rsidR="00D02A37">
        <w:t>.</w:t>
      </w:r>
      <w:r>
        <w:t xml:space="preserve"> Christ was the one in </w:t>
      </w:r>
      <w:r w:rsidR="00D02A37">
        <w:t>whom</w:t>
      </w:r>
      <w:r>
        <w:t xml:space="preserve"> </w:t>
      </w:r>
      <w:r w:rsidR="00D02A37">
        <w:t>“</w:t>
      </w:r>
      <w:r>
        <w:t>all things were created, in heaven and in earth . . . all things were created through and for</w:t>
      </w:r>
      <w:r w:rsidR="00D02A37">
        <w:t xml:space="preserve"> </w:t>
      </w:r>
      <w:r>
        <w:t xml:space="preserve">him” </w:t>
      </w:r>
      <w:r w:rsidRPr="0022699D">
        <w:t>(Col.</w:t>
      </w:r>
      <w:r w:rsidR="00D02A37" w:rsidRPr="0022699D">
        <w:t>1</w:t>
      </w:r>
      <w:r w:rsidRPr="0022699D">
        <w:t>:16)</w:t>
      </w:r>
      <w:r>
        <w:t xml:space="preserve">. </w:t>
      </w:r>
    </w:p>
    <w:p w14:paraId="390D7342" w14:textId="77777777" w:rsidR="00544629" w:rsidRDefault="00544629" w:rsidP="00F013EB">
      <w:pPr>
        <w:pStyle w:val="NormalWeb"/>
        <w:spacing w:before="120" w:beforeAutospacing="0" w:after="120" w:afterAutospacing="0" w:line="300" w:lineRule="auto"/>
        <w:ind w:firstLine="720"/>
      </w:pPr>
      <w:r w:rsidRPr="0008529E">
        <w:t>Paul</w:t>
      </w:r>
      <w:r w:rsidR="0022699D">
        <w:t xml:space="preserve"> more clea</w:t>
      </w:r>
      <w:r w:rsidR="0008529E">
        <w:t>r</w:t>
      </w:r>
      <w:r w:rsidR="0022699D">
        <w:t>ly identified Christ</w:t>
      </w:r>
      <w:r>
        <w:t xml:space="preserve"> with God through his teaching of the in</w:t>
      </w:r>
      <w:r w:rsidR="0022699D">
        <w:t>carna</w:t>
      </w:r>
      <w:r>
        <w:t xml:space="preserve">te </w:t>
      </w:r>
      <w:r w:rsidR="0022699D">
        <w:t>s</w:t>
      </w:r>
      <w:r>
        <w:t>o</w:t>
      </w:r>
      <w:r w:rsidR="0022699D">
        <w:t>ns</w:t>
      </w:r>
      <w:r>
        <w:t>hip, the belief that God the Father became inca</w:t>
      </w:r>
      <w:r w:rsidR="0022699D">
        <w:t>rnate in Christ the Son: “</w:t>
      </w:r>
      <w:r>
        <w:t>For in him the whole fullness of deity dwells bodily</w:t>
      </w:r>
      <w:r w:rsidR="0022699D">
        <w:t>”</w:t>
      </w:r>
      <w:r>
        <w:t xml:space="preserve"> (Col. 2:9, </w:t>
      </w:r>
      <w:r w:rsidR="0022699D">
        <w:t>cf.</w:t>
      </w:r>
      <w:r>
        <w:t xml:space="preserve"> 2 Cor. 5:19 and Col. 1:15)</w:t>
      </w:r>
      <w:r w:rsidR="0022699D">
        <w:t>.</w:t>
      </w:r>
      <w:r>
        <w:t xml:space="preserve"> The term </w:t>
      </w:r>
      <w:r w:rsidR="0022699D">
        <w:t>“</w:t>
      </w:r>
      <w:r>
        <w:t>Son of God</w:t>
      </w:r>
      <w:r w:rsidR="0022699D">
        <w:t>”</w:t>
      </w:r>
      <w:r>
        <w:t xml:space="preserve"> was not ne</w:t>
      </w:r>
      <w:r w:rsidR="0022699D">
        <w:t>w</w:t>
      </w:r>
      <w:r>
        <w:t xml:space="preserve"> to the Jews</w:t>
      </w:r>
      <w:r w:rsidR="0022699D">
        <w:t xml:space="preserve">. </w:t>
      </w:r>
      <w:r>
        <w:t>The term had an ancient usage that was applied to Israel</w:t>
      </w:r>
      <w:r w:rsidR="0093606D">
        <w:t>’</w:t>
      </w:r>
      <w:r>
        <w:t>s sacral king, the Messiah (Ps. 2:7)</w:t>
      </w:r>
      <w:r w:rsidR="0093606D">
        <w:t>.</w:t>
      </w:r>
      <w:r w:rsidR="00BA6BC8" w:rsidRPr="00D81EFB">
        <w:rPr>
          <w:rStyle w:val="FootnoteReference"/>
          <w:b/>
        </w:rPr>
        <w:footnoteReference w:id="12"/>
      </w:r>
      <w:r>
        <w:t xml:space="preserve"> In applying it to Christ Paul did not use the term primarily in </w:t>
      </w:r>
      <w:r w:rsidR="0093606D">
        <w:t>its</w:t>
      </w:r>
      <w:r>
        <w:t xml:space="preserve"> Judaic sense but rather in its mythol</w:t>
      </w:r>
      <w:r w:rsidR="0093606D">
        <w:t>o</w:t>
      </w:r>
      <w:r>
        <w:t xml:space="preserve">gical </w:t>
      </w:r>
      <w:r w:rsidR="009076CE">
        <w:t>Hellenistic</w:t>
      </w:r>
      <w:r>
        <w:t xml:space="preserve"> sense of the Son of God as an incarnation of the Deity. </w:t>
      </w:r>
    </w:p>
    <w:p w14:paraId="540B7947" w14:textId="77777777" w:rsidR="00544629" w:rsidRDefault="00544629" w:rsidP="00F013EB">
      <w:pPr>
        <w:pStyle w:val="NormalWeb"/>
        <w:spacing w:before="120" w:beforeAutospacing="0" w:after="120" w:afterAutospacing="0" w:line="300" w:lineRule="auto"/>
        <w:ind w:firstLine="720"/>
      </w:pPr>
      <w:r>
        <w:t>In spite of Paul</w:t>
      </w:r>
      <w:r w:rsidR="0093606D">
        <w:t>’</w:t>
      </w:r>
      <w:r>
        <w:t>s preferred usage of the term “Son of God</w:t>
      </w:r>
      <w:r w:rsidR="0093606D">
        <w:t>”</w:t>
      </w:r>
      <w:r>
        <w:t xml:space="preserve"> this was not the term with which Christ p</w:t>
      </w:r>
      <w:r w:rsidR="0093606D">
        <w:t>rimari</w:t>
      </w:r>
      <w:r>
        <w:t xml:space="preserve">ly designated Himself. Christ most often </w:t>
      </w:r>
      <w:r w:rsidR="0093606D">
        <w:t xml:space="preserve">refers to Himself as Heb. </w:t>
      </w:r>
      <w:r w:rsidR="0093606D" w:rsidRPr="0093606D">
        <w:rPr>
          <w:i/>
        </w:rPr>
        <w:t>ber nasha</w:t>
      </w:r>
      <w:r w:rsidR="0093606D">
        <w:t xml:space="preserve"> </w:t>
      </w:r>
      <w:r w:rsidR="0093606D" w:rsidRPr="0093606D">
        <w:t>‘Son of Man’</w:t>
      </w:r>
      <w:r w:rsidR="0093606D">
        <w:t>,</w:t>
      </w:r>
      <w:r w:rsidR="0093606D" w:rsidRPr="0093606D">
        <w:t xml:space="preserve"> </w:t>
      </w:r>
      <w:r w:rsidR="0093606D">
        <w:t>a title that not only designates Christ’s perfect humanity, a standard interpretation,</w:t>
      </w:r>
      <w:r w:rsidR="0093606D" w:rsidRPr="0093606D">
        <w:t xml:space="preserve"> </w:t>
      </w:r>
      <w:r w:rsidR="0093606D">
        <w:t>but primarily the Heavenly Man, a divine adamic prototype, created at the beginning o</w:t>
      </w:r>
      <w:r w:rsidR="0085601C">
        <w:t>f</w:t>
      </w:r>
      <w:r w:rsidR="0093606D">
        <w:t xml:space="preserve"> time, who would usher in a spiritual rathe</w:t>
      </w:r>
      <w:r w:rsidR="0085601C">
        <w:t>r</w:t>
      </w:r>
      <w:r w:rsidR="0093606D">
        <w:t xml:space="preserve"> than a political kingdom</w:t>
      </w:r>
      <w:r w:rsidR="00155CD4">
        <w:t xml:space="preserve">. </w:t>
      </w:r>
      <w:r w:rsidR="00BA6BC8" w:rsidRPr="0020547A">
        <w:rPr>
          <w:rStyle w:val="FootnoteReference"/>
          <w:b/>
        </w:rPr>
        <w:footnoteReference w:id="13"/>
      </w:r>
      <w:r w:rsidR="0093606D">
        <w:t xml:space="preserve"> Such a description fits Jesus</w:t>
      </w:r>
      <w:r w:rsidR="00155CD4">
        <w:t>.</w:t>
      </w:r>
      <w:r w:rsidR="0093606D">
        <w:t xml:space="preserve"> Ch</w:t>
      </w:r>
      <w:r w:rsidR="00155CD4">
        <w:t>r</w:t>
      </w:r>
      <w:r w:rsidR="0093606D">
        <w:t>ist rarely refe</w:t>
      </w:r>
      <w:r w:rsidR="00155CD4">
        <w:t>r</w:t>
      </w:r>
      <w:r w:rsidR="0093606D">
        <w:t>s to</w:t>
      </w:r>
      <w:r w:rsidR="00155CD4" w:rsidRPr="00155CD4">
        <w:t xml:space="preserve"> </w:t>
      </w:r>
      <w:r w:rsidR="00155CD4">
        <w:t>Himself</w:t>
      </w:r>
      <w:r w:rsidR="00BA6BC8">
        <w:t xml:space="preserve"> </w:t>
      </w:r>
      <w:r w:rsidR="00155CD4">
        <w:t>as “</w:t>
      </w:r>
      <w:r>
        <w:t>Son of God,</w:t>
      </w:r>
      <w:r w:rsidR="00155CD4">
        <w:t>”</w:t>
      </w:r>
      <w:r>
        <w:t xml:space="preserve"> in all probability because His Jewish opponents interpreted this designation in the my</w:t>
      </w:r>
      <w:r w:rsidR="00155CD4">
        <w:t>th</w:t>
      </w:r>
      <w:r>
        <w:t>ological sense that Yahweh had generated offspring. In any case, to them it signified a blasphemous identification with God worthy of His condemnation and death (John 5:18)</w:t>
      </w:r>
      <w:r w:rsidR="00155CD4">
        <w:t>.</w:t>
      </w:r>
      <w:r>
        <w:t xml:space="preserve"> But of the two terms, </w:t>
      </w:r>
      <w:r w:rsidR="00155CD4">
        <w:t>“</w:t>
      </w:r>
      <w:r>
        <w:t>Son of Man</w:t>
      </w:r>
      <w:r w:rsidR="00155CD4">
        <w:t>”</w:t>
      </w:r>
      <w:r>
        <w:t xml:space="preserve"> is cha</w:t>
      </w:r>
      <w:r w:rsidR="00155CD4">
        <w:t>r</w:t>
      </w:r>
      <w:r>
        <w:t xml:space="preserve">ged more fully with potency and significance. </w:t>
      </w:r>
    </w:p>
    <w:p w14:paraId="57386B83" w14:textId="77777777" w:rsidR="00544629" w:rsidRDefault="00544629" w:rsidP="00F013EB">
      <w:pPr>
        <w:pStyle w:val="NormalWeb"/>
        <w:spacing w:before="120" w:beforeAutospacing="0" w:after="120" w:afterAutospacing="0" w:line="300" w:lineRule="auto"/>
        <w:ind w:firstLine="720"/>
      </w:pPr>
      <w:r>
        <w:t xml:space="preserve">What is so </w:t>
      </w:r>
      <w:r w:rsidR="00BE5AA5">
        <w:t>e</w:t>
      </w:r>
      <w:r>
        <w:t>xtraordinary about the af</w:t>
      </w:r>
      <w:r w:rsidR="00BE5AA5">
        <w:t>f</w:t>
      </w:r>
      <w:r>
        <w:t>i</w:t>
      </w:r>
      <w:r w:rsidR="00BE5AA5">
        <w:t>r</w:t>
      </w:r>
      <w:r>
        <w:t>mations of Christ</w:t>
      </w:r>
      <w:r w:rsidR="00BE5AA5">
        <w:t>’</w:t>
      </w:r>
      <w:r>
        <w:t>s deity made in the writings of Paul and the c</w:t>
      </w:r>
      <w:r w:rsidR="00BE5AA5">
        <w:t>r</w:t>
      </w:r>
      <w:r>
        <w:t xml:space="preserve">eeds is how little account such declarations take of the pronouncements of Jesus about Himself. A careful examination of </w:t>
      </w:r>
      <w:r w:rsidR="00BE5AA5">
        <w:t>c</w:t>
      </w:r>
      <w:r>
        <w:t>er</w:t>
      </w:r>
      <w:r w:rsidR="00BE5AA5">
        <w:t>t</w:t>
      </w:r>
      <w:r>
        <w:t>ain passages impel</w:t>
      </w:r>
      <w:r w:rsidR="00C51D5A">
        <w:t>s</w:t>
      </w:r>
      <w:r>
        <w:t xml:space="preserve"> us to make a serious reevaluation of what is stated in the </w:t>
      </w:r>
      <w:r w:rsidR="00693171">
        <w:t>Trinitarian</w:t>
      </w:r>
      <w:r>
        <w:t xml:space="preserve"> theology o</w:t>
      </w:r>
      <w:r w:rsidR="00C51D5A">
        <w:t>f</w:t>
      </w:r>
      <w:r>
        <w:t xml:space="preserve"> the creed</w:t>
      </w:r>
      <w:r w:rsidR="00C51D5A">
        <w:t>s</w:t>
      </w:r>
      <w:r>
        <w:t xml:space="preserve"> and the writings of Paul. While certain statements of Jesus clearly indicate that their author regarded Himself as a Divine Manifestation revealing the Will of the Father (John 10:30; cf. John 8:19, 14:7), taken as a whole, they reveal that Christ clearly su</w:t>
      </w:r>
      <w:r w:rsidR="00D36081">
        <w:t>b</w:t>
      </w:r>
      <w:r>
        <w:t>o</w:t>
      </w:r>
      <w:r w:rsidR="00D36081">
        <w:t>r</w:t>
      </w:r>
      <w:r>
        <w:t xml:space="preserve">dinated Himself to the essence of Divinity. </w:t>
      </w:r>
    </w:p>
    <w:p w14:paraId="2A816ED0" w14:textId="77777777" w:rsidR="00544629" w:rsidRDefault="00544629" w:rsidP="00F013EB">
      <w:pPr>
        <w:pStyle w:val="NormalWeb"/>
        <w:spacing w:before="120" w:beforeAutospacing="0" w:after="120" w:afterAutospacing="0" w:line="300" w:lineRule="auto"/>
        <w:ind w:firstLine="720"/>
      </w:pPr>
      <w:r>
        <w:t>Paul</w:t>
      </w:r>
      <w:r w:rsidR="00D36081">
        <w:t>’</w:t>
      </w:r>
      <w:r>
        <w:t xml:space="preserve">s assertion that </w:t>
      </w:r>
      <w:r w:rsidR="00D30496">
        <w:t>“</w:t>
      </w:r>
      <w:r>
        <w:t xml:space="preserve">Jesus has been </w:t>
      </w:r>
      <w:r w:rsidR="00D30496">
        <w:t>c</w:t>
      </w:r>
      <w:r>
        <w:t>ounted worthy of as much more glory than Moses</w:t>
      </w:r>
      <w:r w:rsidR="0051653F">
        <w:t>”</w:t>
      </w:r>
      <w:r>
        <w:t xml:space="preserve"> (Heb. 3:3) has led Christians to uphold a radical discontinuity between Ch</w:t>
      </w:r>
      <w:r w:rsidR="0051653F">
        <w:t>ris</w:t>
      </w:r>
      <w:r>
        <w:t>t and the Prophets of Israel and Judah. Though Christians assent to Christ</w:t>
      </w:r>
      <w:r w:rsidR="0051653F">
        <w:t>’</w:t>
      </w:r>
      <w:r>
        <w:t xml:space="preserve">s own declaration that He fulfilled the </w:t>
      </w:r>
      <w:r>
        <w:lastRenderedPageBreak/>
        <w:t>J</w:t>
      </w:r>
      <w:r w:rsidR="0051653F">
        <w:t>ewish</w:t>
      </w:r>
      <w:r>
        <w:t xml:space="preserve"> </w:t>
      </w:r>
      <w:r w:rsidR="0051653F">
        <w:t>law</w:t>
      </w:r>
      <w:r>
        <w:t xml:space="preserve"> (Matt. 5:17), they insist that, on the basis of Chri</w:t>
      </w:r>
      <w:r w:rsidR="0051653F">
        <w:t>s</w:t>
      </w:r>
      <w:r>
        <w:t>t’s divinity, He is disqualified even to assume the title of prophet</w:t>
      </w:r>
      <w:r w:rsidR="0051653F">
        <w:t>.</w:t>
      </w:r>
      <w:r>
        <w:t xml:space="preserve"> </w:t>
      </w:r>
    </w:p>
    <w:p w14:paraId="4284DC75" w14:textId="77777777" w:rsidR="00544629" w:rsidRDefault="00544629" w:rsidP="00F013EB">
      <w:pPr>
        <w:pStyle w:val="NormalWeb"/>
        <w:spacing w:before="120" w:beforeAutospacing="0" w:after="120" w:afterAutospacing="0" w:line="300" w:lineRule="auto"/>
        <w:ind w:firstLine="720"/>
      </w:pPr>
      <w:r>
        <w:t xml:space="preserve">Not only did Christ refer to Himself as a </w:t>
      </w:r>
      <w:r w:rsidR="0051653F">
        <w:t>“</w:t>
      </w:r>
      <w:r>
        <w:t>p</w:t>
      </w:r>
      <w:r w:rsidR="0051653F">
        <w:t>r</w:t>
      </w:r>
      <w:r>
        <w:t>ophet</w:t>
      </w:r>
      <w:r w:rsidR="0051653F">
        <w:t>”</w:t>
      </w:r>
      <w:r>
        <w:t xml:space="preserve"> on occasion, but He did so in the context of linking His own suf</w:t>
      </w:r>
      <w:r w:rsidR="0051653F">
        <w:t>fer</w:t>
      </w:r>
      <w:r>
        <w:t xml:space="preserve">ing and rejection </w:t>
      </w:r>
      <w:r w:rsidR="0051653F">
        <w:t>w</w:t>
      </w:r>
      <w:r>
        <w:t xml:space="preserve">ith that of the prophetic figures of Israel and Judah. After His </w:t>
      </w:r>
      <w:r w:rsidR="003B16E3">
        <w:t>r</w:t>
      </w:r>
      <w:r>
        <w:t>e</w:t>
      </w:r>
      <w:r w:rsidR="003B16E3">
        <w:t>j</w:t>
      </w:r>
      <w:r>
        <w:t xml:space="preserve">ection by fellow Galileans at Nazareth, He remarked that </w:t>
      </w:r>
      <w:r w:rsidR="003B16E3">
        <w:t xml:space="preserve">“A </w:t>
      </w:r>
      <w:r>
        <w:t>p</w:t>
      </w:r>
      <w:r w:rsidR="003B16E3">
        <w:t>r</w:t>
      </w:r>
      <w:r>
        <w:t>ophet is not without honor, except in his own country, and among his own kin, and in his own house</w:t>
      </w:r>
      <w:r w:rsidR="003B16E3">
        <w:t>”</w:t>
      </w:r>
      <w:r>
        <w:t xml:space="preserve"> (Mark 6:4). Christ further established His prophetic function by linking His own coming to the prophecy of Moses, the greatest of His Hebrew predecesso</w:t>
      </w:r>
      <w:r w:rsidR="0094166A">
        <w:t>r</w:t>
      </w:r>
      <w:r>
        <w:t xml:space="preserve">s, that </w:t>
      </w:r>
      <w:r w:rsidR="0094166A">
        <w:t>“</w:t>
      </w:r>
      <w:r>
        <w:t>The Lord you</w:t>
      </w:r>
      <w:r w:rsidR="00143F64">
        <w:t>r</w:t>
      </w:r>
      <w:r>
        <w:t xml:space="preserve"> God will raise up for you a prophet like me from among you</w:t>
      </w:r>
      <w:r w:rsidR="0094166A">
        <w:t>”</w:t>
      </w:r>
      <w:r>
        <w:t xml:space="preserve"> (De</w:t>
      </w:r>
      <w:r w:rsidR="0094166A">
        <w:t>ut.</w:t>
      </w:r>
      <w:r>
        <w:t xml:space="preserve"> 18:15). Christ indicated that He was the prophet promised by Moses (John 5:45</w:t>
      </w:r>
      <w:r w:rsidR="0094166A">
        <w:t>-</w:t>
      </w:r>
      <w:r>
        <w:t xml:space="preserve">47). </w:t>
      </w:r>
    </w:p>
    <w:p w14:paraId="7E0A457F" w14:textId="77777777" w:rsidR="00B879E9" w:rsidRDefault="00544629" w:rsidP="00F013EB">
      <w:pPr>
        <w:pStyle w:val="NormalWeb"/>
        <w:spacing w:before="120" w:beforeAutospacing="0" w:after="120" w:afterAutospacing="0" w:line="300" w:lineRule="auto"/>
        <w:ind w:firstLine="720"/>
      </w:pPr>
      <w:r>
        <w:t>Christ</w:t>
      </w:r>
      <w:r w:rsidR="0094166A">
        <w:t>’</w:t>
      </w:r>
      <w:r>
        <w:t xml:space="preserve">s identification of Himself as the </w:t>
      </w:r>
      <w:r w:rsidR="0094166A">
        <w:t>“</w:t>
      </w:r>
      <w:r>
        <w:t>Prophet</w:t>
      </w:r>
      <w:r w:rsidR="0094166A">
        <w:t>”</w:t>
      </w:r>
      <w:r>
        <w:t xml:space="preserve"> promised by Moses was precisely the </w:t>
      </w:r>
      <w:r w:rsidR="009B6F20">
        <w:t xml:space="preserve">Christological   </w:t>
      </w:r>
      <w:r>
        <w:t xml:space="preserve"> understanding held by the earliest group of Jewish Christians, the Ebionites. The Ebio</w:t>
      </w:r>
      <w:r w:rsidR="0094166A">
        <w:t>n</w:t>
      </w:r>
      <w:r>
        <w:t xml:space="preserve">ite understanding of Jesus as the </w:t>
      </w:r>
      <w:r w:rsidR="0094166A">
        <w:t>“</w:t>
      </w:r>
      <w:r>
        <w:t>Prophet” or the “True Prophet</w:t>
      </w:r>
      <w:r w:rsidR="002E6AB3">
        <w:t>”</w:t>
      </w:r>
      <w:r>
        <w:t xml:space="preserve"> is contained in </w:t>
      </w:r>
      <w:r w:rsidR="002E6AB3">
        <w:t>“</w:t>
      </w:r>
      <w:r>
        <w:t>The Preaching of Peter” (Kerygmata Pet</w:t>
      </w:r>
      <w:r w:rsidR="00377EB7">
        <w:t>r</w:t>
      </w:r>
      <w:r>
        <w:t>ov), which forms a part of the un</w:t>
      </w:r>
      <w:r w:rsidR="00341E34">
        <w:t>ca</w:t>
      </w:r>
      <w:r>
        <w:t>nonical “Pseudo</w:t>
      </w:r>
      <w:r w:rsidR="00341E34">
        <w:t>-</w:t>
      </w:r>
      <w:r>
        <w:t>Clementine Novel.</w:t>
      </w:r>
      <w:r w:rsidR="00341E34">
        <w:t>”</w:t>
      </w:r>
      <w:r>
        <w:t xml:space="preserve"> True</w:t>
      </w:r>
      <w:r w:rsidR="00341E34">
        <w:t>-</w:t>
      </w:r>
      <w:r>
        <w:t>p</w:t>
      </w:r>
      <w:r w:rsidR="00341E34">
        <w:t>r</w:t>
      </w:r>
      <w:r>
        <w:t>ophet Ch</w:t>
      </w:r>
      <w:r w:rsidR="00341E34">
        <w:t>r</w:t>
      </w:r>
      <w:r>
        <w:t>istol</w:t>
      </w:r>
      <w:r w:rsidR="00341E34">
        <w:t>o</w:t>
      </w:r>
      <w:r>
        <w:t>gy is also found in the apo</w:t>
      </w:r>
      <w:r w:rsidR="00341E34">
        <w:t>c</w:t>
      </w:r>
      <w:r>
        <w:t>ryphal “Gospel of the Hebrews,” which was used by the Naza</w:t>
      </w:r>
      <w:r w:rsidR="00341E34">
        <w:t>r</w:t>
      </w:r>
      <w:r>
        <w:t xml:space="preserve">ene Christians. St. Jerome wrote that they regarded it as the </w:t>
      </w:r>
      <w:r w:rsidR="00341E34">
        <w:t>origina</w:t>
      </w:r>
      <w:r>
        <w:t>l A</w:t>
      </w:r>
      <w:r w:rsidR="00341E34">
        <w:t>r</w:t>
      </w:r>
      <w:r>
        <w:t>amaic Matthew. The parallels between the Jewish</w:t>
      </w:r>
      <w:r w:rsidR="00B40C39">
        <w:t>-</w:t>
      </w:r>
      <w:r>
        <w:t>Christian belief in Christ as the “True P</w:t>
      </w:r>
      <w:r w:rsidR="00B40C39">
        <w:t>r</w:t>
      </w:r>
      <w:r>
        <w:t>ophet</w:t>
      </w:r>
      <w:r w:rsidR="00B40C39">
        <w:t>”</w:t>
      </w:r>
      <w:r>
        <w:t xml:space="preserve"> Who appeared at the end of an Adamic cycle of prophetic figures and the Bahá’í concept of progressive revelation show basic similarities</w:t>
      </w:r>
      <w:r w:rsidR="00B40C39">
        <w:t>.</w:t>
      </w:r>
      <w:r>
        <w:t xml:space="preserve"> The Jews who awaited the </w:t>
      </w:r>
      <w:r w:rsidR="00B40C39">
        <w:t>“</w:t>
      </w:r>
      <w:r>
        <w:t xml:space="preserve">True </w:t>
      </w:r>
      <w:r w:rsidR="00F25E7C">
        <w:t>Prophet” believed in a cycle at prophetic figures beginning with Adam Who would appear until a period of great decay had set in.</w:t>
      </w:r>
      <w:r w:rsidR="00B879E9" w:rsidRPr="00B879E9">
        <w:t xml:space="preserve"> </w:t>
      </w:r>
      <w:r w:rsidR="00B879E9">
        <w:t xml:space="preserve">At that time the “True Prophet,” the great Teacher culminating the cycle would appear and inaugurate a spiritual kingdom. </w:t>
      </w:r>
    </w:p>
    <w:p w14:paraId="6B1926E6" w14:textId="77777777" w:rsidR="00544629" w:rsidRDefault="00544629" w:rsidP="00F013EB">
      <w:pPr>
        <w:pStyle w:val="NormalWeb"/>
        <w:spacing w:before="120" w:beforeAutospacing="0" w:after="120" w:afterAutospacing="0" w:line="300" w:lineRule="auto"/>
        <w:ind w:firstLine="720"/>
      </w:pPr>
      <w:r>
        <w:t>At the first and second ecumenical councils of the church at Nicaea and Constantinople, it had been laid down that Ch</w:t>
      </w:r>
      <w:r w:rsidR="008D4CAA">
        <w:t>r</w:t>
      </w:r>
      <w:r>
        <w:t>i</w:t>
      </w:r>
      <w:r w:rsidR="008D4CAA">
        <w:t>s</w:t>
      </w:r>
      <w:r>
        <w:t xml:space="preserve">t was of the same essence with the Father and that the Godhead consisted of three divine persons. St Paul, with his doctrine of </w:t>
      </w:r>
      <w:r w:rsidR="008D4CAA">
        <w:t>incar</w:t>
      </w:r>
      <w:r>
        <w:t xml:space="preserve">nate sonship, also put </w:t>
      </w:r>
      <w:r w:rsidR="008D4CAA">
        <w:t>forth</w:t>
      </w:r>
      <w:r>
        <w:t xml:space="preserve"> the notion of the </w:t>
      </w:r>
      <w:r w:rsidR="008D4CAA">
        <w:t>c</w:t>
      </w:r>
      <w:r>
        <w:t>oequality of Christ with the Father</w:t>
      </w:r>
      <w:r w:rsidR="008D4CAA">
        <w:t>.</w:t>
      </w:r>
      <w:r>
        <w:t xml:space="preserve"> As to the Nicene a</w:t>
      </w:r>
      <w:r w:rsidR="008D4CAA">
        <w:t>f</w:t>
      </w:r>
      <w:r>
        <w:t>fi</w:t>
      </w:r>
      <w:r w:rsidR="008D4CAA">
        <w:t>r</w:t>
      </w:r>
      <w:r>
        <w:t xml:space="preserve">mation of His being of one essence </w:t>
      </w:r>
      <w:r w:rsidR="008D4CAA">
        <w:t>w</w:t>
      </w:r>
      <w:r>
        <w:t>ith the Father, Christ was silent on that pa</w:t>
      </w:r>
      <w:r w:rsidR="008D4CAA">
        <w:t>r</w:t>
      </w:r>
      <w:r>
        <w:t>ticula</w:t>
      </w:r>
      <w:r w:rsidR="008D4CAA">
        <w:t>r</w:t>
      </w:r>
      <w:r>
        <w:t xml:space="preserve"> issue</w:t>
      </w:r>
      <w:r w:rsidR="008D4CAA">
        <w:t>.</w:t>
      </w:r>
      <w:r>
        <w:t xml:space="preserve"> The te</w:t>
      </w:r>
      <w:r w:rsidR="008D4CAA">
        <w:t>r</w:t>
      </w:r>
      <w:r>
        <w:t>ms “essence</w:t>
      </w:r>
      <w:r w:rsidR="008D4CAA">
        <w:t>”</w:t>
      </w:r>
      <w:r>
        <w:t xml:space="preserve"> and </w:t>
      </w:r>
      <w:r w:rsidR="008D4CAA">
        <w:t>“</w:t>
      </w:r>
      <w:r>
        <w:t>substance</w:t>
      </w:r>
      <w:r w:rsidR="008D4CAA">
        <w:t>”</w:t>
      </w:r>
      <w:r>
        <w:t xml:space="preserve"> were concepts borrowed from Greek philosophy and not biblical. Eusebius of Caesa</w:t>
      </w:r>
      <w:r w:rsidR="008D4CAA">
        <w:t>r</w:t>
      </w:r>
      <w:r>
        <w:t>ea and other conservatives had opposed the Nicene creed on that account. As fa</w:t>
      </w:r>
      <w:r w:rsidR="008D4CAA">
        <w:t>r</w:t>
      </w:r>
      <w:r>
        <w:t xml:space="preserve"> as </w:t>
      </w:r>
      <w:r w:rsidR="00693171">
        <w:t>Trinitarian</w:t>
      </w:r>
      <w:r>
        <w:t xml:space="preserve"> theology is conce</w:t>
      </w:r>
      <w:r w:rsidR="008D4CAA">
        <w:t>rn</w:t>
      </w:r>
      <w:r>
        <w:t>ed, Christ declared to a scribe who had come to question Him that the belief in the divine unity was the greatest of the commandmen</w:t>
      </w:r>
      <w:r w:rsidR="008D4CAA">
        <w:t>ts:</w:t>
      </w:r>
      <w:r>
        <w:t xml:space="preserve"> </w:t>
      </w:r>
      <w:r w:rsidR="008D4CAA">
        <w:t>“</w:t>
      </w:r>
      <w:r>
        <w:t>The fi</w:t>
      </w:r>
      <w:r w:rsidR="008D4CAA">
        <w:t>r</w:t>
      </w:r>
      <w:r>
        <w:t>st is, ‘Hea</w:t>
      </w:r>
      <w:r w:rsidR="008D4CAA">
        <w:t>r</w:t>
      </w:r>
      <w:r>
        <w:t xml:space="preserve">, </w:t>
      </w:r>
      <w:r w:rsidR="008D4CAA">
        <w:t>O</w:t>
      </w:r>
      <w:r>
        <w:t xml:space="preserve"> Israel: The Lord our God, the Lord is one</w:t>
      </w:r>
      <w:r w:rsidR="008D4CAA">
        <w:t>’ ”</w:t>
      </w:r>
      <w:r>
        <w:t xml:space="preserve"> (Mark 12:29)</w:t>
      </w:r>
      <w:r w:rsidR="008D4CAA">
        <w:t>.</w:t>
      </w:r>
      <w:r>
        <w:t xml:space="preserve"> By His affirmation that there was only one Lo</w:t>
      </w:r>
      <w:r w:rsidR="008D4CAA">
        <w:t>r</w:t>
      </w:r>
      <w:r>
        <w:t>d—that is, God—Ch</w:t>
      </w:r>
      <w:r w:rsidR="008D4CAA">
        <w:t>r</w:t>
      </w:r>
      <w:r>
        <w:t>ist was lending His approval t</w:t>
      </w:r>
      <w:r w:rsidR="008D4CAA">
        <w:t>o</w:t>
      </w:r>
      <w:r>
        <w:t xml:space="preserve"> the Jewish declaration of faith, the </w:t>
      </w:r>
      <w:r w:rsidRPr="008D4CAA">
        <w:rPr>
          <w:i/>
        </w:rPr>
        <w:t>Shem</w:t>
      </w:r>
      <w:r w:rsidR="008D4CAA" w:rsidRPr="008D4CAA">
        <w:rPr>
          <w:i/>
        </w:rPr>
        <w:t>a</w:t>
      </w:r>
      <w:r>
        <w:t>, the belief that God is</w:t>
      </w:r>
      <w:r w:rsidR="008D4CAA">
        <w:t xml:space="preserve"> one.</w:t>
      </w:r>
      <w:r>
        <w:t xml:space="preserve"> Jesus also </w:t>
      </w:r>
      <w:r w:rsidR="008D4CAA">
        <w:t>r</w:t>
      </w:r>
      <w:r>
        <w:t>efe</w:t>
      </w:r>
      <w:r w:rsidR="008D4CAA">
        <w:t>rr</w:t>
      </w:r>
      <w:r>
        <w:t>ed to His Father as “the only true God</w:t>
      </w:r>
      <w:r w:rsidR="008D4CAA">
        <w:t xml:space="preserve">” </w:t>
      </w:r>
      <w:r>
        <w:t>(John 17:</w:t>
      </w:r>
      <w:r w:rsidR="001A02C5">
        <w:t>3</w:t>
      </w:r>
      <w:r>
        <w:t>). Jesus indirectly repudiated the incarnation theology that God could take human form by declaring that “God is spirit</w:t>
      </w:r>
      <w:r w:rsidR="001A02C5">
        <w:t>”</w:t>
      </w:r>
      <w:r>
        <w:t xml:space="preserve"> (John 4:24) and that </w:t>
      </w:r>
      <w:r w:rsidR="001A02C5">
        <w:t>“</w:t>
      </w:r>
      <w:r>
        <w:t>His voice you have never heard, his form you have never seen</w:t>
      </w:r>
      <w:r w:rsidR="001A02C5">
        <w:t>”</w:t>
      </w:r>
      <w:r>
        <w:t xml:space="preserve"> (John 5:</w:t>
      </w:r>
      <w:r w:rsidR="001A02C5">
        <w:t>3</w:t>
      </w:r>
      <w:r>
        <w:t>7). Furtherm</w:t>
      </w:r>
      <w:r w:rsidR="001A02C5">
        <w:t>or</w:t>
      </w:r>
      <w:r>
        <w:t>e, Christ</w:t>
      </w:r>
      <w:r w:rsidR="001A02C5">
        <w:t>’</w:t>
      </w:r>
      <w:r>
        <w:t xml:space="preserve">s coequality with God, which was also </w:t>
      </w:r>
      <w:r>
        <w:lastRenderedPageBreak/>
        <w:t>a</w:t>
      </w:r>
      <w:r w:rsidR="001A02C5">
        <w:t>ffir</w:t>
      </w:r>
      <w:r>
        <w:t>med at Cons</w:t>
      </w:r>
      <w:r w:rsidR="001A02C5">
        <w:t>ta</w:t>
      </w:r>
      <w:r>
        <w:t xml:space="preserve">ntinople, was something that he had emphatically denied on several </w:t>
      </w:r>
      <w:r w:rsidR="001A02C5">
        <w:t>occ</w:t>
      </w:r>
      <w:r>
        <w:t xml:space="preserve">asions in His encounters with the Jews. </w:t>
      </w:r>
    </w:p>
    <w:p w14:paraId="3EF638DF" w14:textId="77777777" w:rsidR="00544629" w:rsidRDefault="00544629" w:rsidP="00F013EB">
      <w:pPr>
        <w:pStyle w:val="NormalWeb"/>
        <w:spacing w:before="120" w:beforeAutospacing="0" w:after="120" w:afterAutospacing="0" w:line="300" w:lineRule="auto"/>
        <w:ind w:firstLine="720"/>
      </w:pPr>
      <w:r>
        <w:t>In an exchange with the Pharisees in which He established His station of Sonship Christ declared that both His mission and genesis were the Father</w:t>
      </w:r>
      <w:r w:rsidR="004C5E79">
        <w:t>’</w:t>
      </w:r>
      <w:r>
        <w:t xml:space="preserve">s doing, not His, </w:t>
      </w:r>
      <w:r w:rsidR="004C5E79">
        <w:t>t</w:t>
      </w:r>
      <w:r>
        <w:t>hereby clea</w:t>
      </w:r>
      <w:r w:rsidR="004C5E79">
        <w:t>r</w:t>
      </w:r>
      <w:r>
        <w:t xml:space="preserve">ly </w:t>
      </w:r>
      <w:r w:rsidR="004C5E79">
        <w:t>d</w:t>
      </w:r>
      <w:r>
        <w:t xml:space="preserve">ispelling any notion that He was equal in power with the Father: “If God were your Father, you would love me, for I proceeded and came forth </w:t>
      </w:r>
      <w:r w:rsidR="00EA13FC">
        <w:t>fro</w:t>
      </w:r>
      <w:r>
        <w:t>m God; I came not of my own accord but he sent me. Why do you not understand what I say?</w:t>
      </w:r>
      <w:r w:rsidR="00EA13FC">
        <w:t>”</w:t>
      </w:r>
      <w:r>
        <w:t xml:space="preserve"> (John 8:42</w:t>
      </w:r>
      <w:r w:rsidR="00EA13FC">
        <w:t>-</w:t>
      </w:r>
      <w:r>
        <w:t>4</w:t>
      </w:r>
      <w:r w:rsidR="00EA13FC">
        <w:t>3</w:t>
      </w:r>
      <w:r>
        <w:t>)</w:t>
      </w:r>
      <w:r w:rsidR="0081726C">
        <w:t>.</w:t>
      </w:r>
      <w:r>
        <w:t xml:space="preserve"> He revealed His dependence on the Father in another context. This occurred at a time when Christ’s fame as a healer had spread th</w:t>
      </w:r>
      <w:r w:rsidR="0081726C">
        <w:t>r</w:t>
      </w:r>
      <w:r>
        <w:t>oughout Palestine. Since He had healed on the Sabbath, the Pharisees had accused Him of breaking Mosaic law. The Jews und</w:t>
      </w:r>
      <w:r w:rsidR="0081726C">
        <w:t>erst</w:t>
      </w:r>
      <w:r>
        <w:t>ood Ch</w:t>
      </w:r>
      <w:r w:rsidR="0081726C">
        <w:t>r</w:t>
      </w:r>
      <w:r>
        <w:t>ist</w:t>
      </w:r>
      <w:r w:rsidR="0081726C">
        <w:t>’</w:t>
      </w:r>
      <w:r>
        <w:t xml:space="preserve">s reference to God as His Father in a mythological sense that implied identification with The Godhead. Such </w:t>
      </w:r>
      <w:r w:rsidR="00E038A9">
        <w:t>an identification</w:t>
      </w:r>
      <w:r>
        <w:t xml:space="preserve"> caused the monotheistic Jews to level the charge of blasphemy against Christ</w:t>
      </w:r>
      <w:r w:rsidR="0081726C">
        <w:t xml:space="preserve">. </w:t>
      </w:r>
      <w:r>
        <w:t xml:space="preserve">His response was: </w:t>
      </w:r>
      <w:r w:rsidR="0081726C">
        <w:t>“</w:t>
      </w:r>
      <w:r>
        <w:t xml:space="preserve">Truly, truly, I say to you, the Son can do nothing of his own accord, but only what he sees the Father doing; for </w:t>
      </w:r>
      <w:r w:rsidR="0081726C">
        <w:t>w</w:t>
      </w:r>
      <w:r>
        <w:t>hatever he does, that the Son does likewise</w:t>
      </w:r>
      <w:r w:rsidR="0081726C">
        <w:t>”</w:t>
      </w:r>
      <w:r>
        <w:t xml:space="preserve"> (John 5:19). Christ clarified His dependency on Divine Omnipotence in </w:t>
      </w:r>
      <w:r w:rsidR="00225371">
        <w:t>other</w:t>
      </w:r>
      <w:r>
        <w:t xml:space="preserve"> passages: “I can do nothing on my own authority; as I hear, I </w:t>
      </w:r>
      <w:r w:rsidR="00225371">
        <w:t>j</w:t>
      </w:r>
      <w:r>
        <w:t>udge; and my judgment is just, because I seek not my own will but the will of him who sent me</w:t>
      </w:r>
      <w:r w:rsidR="00225371">
        <w:t>”</w:t>
      </w:r>
      <w:r>
        <w:t xml:space="preserve"> (John 5:30). Shortly before His ar</w:t>
      </w:r>
      <w:r w:rsidR="008809A9">
        <w:t>r</w:t>
      </w:r>
      <w:r>
        <w:t>est, Jesus spoke these words to Judas, the brother of James (not lscariot), in reference to His return: “You hear me say to you, ‘I go away, and I will come to you.’ If you loved me, you would have rejoiced, because I go to the Father; f</w:t>
      </w:r>
      <w:r w:rsidR="008809A9">
        <w:t>or</w:t>
      </w:r>
      <w:r>
        <w:t xml:space="preserve"> the Father is g</w:t>
      </w:r>
      <w:r w:rsidR="008809A9">
        <w:t>r</w:t>
      </w:r>
      <w:r>
        <w:t>eate</w:t>
      </w:r>
      <w:r w:rsidR="008809A9">
        <w:t>r</w:t>
      </w:r>
      <w:r>
        <w:t xml:space="preserve"> than </w:t>
      </w:r>
      <w:r w:rsidR="008809A9">
        <w:t>I”</w:t>
      </w:r>
      <w:r>
        <w:t xml:space="preserve"> (John 14:28). </w:t>
      </w:r>
    </w:p>
    <w:p w14:paraId="06F08B79" w14:textId="77777777" w:rsidR="00544629" w:rsidRDefault="00544629" w:rsidP="00F013EB">
      <w:pPr>
        <w:pStyle w:val="NormalWeb"/>
        <w:spacing w:before="120" w:beforeAutospacing="0" w:after="120" w:afterAutospacing="0" w:line="300" w:lineRule="auto"/>
        <w:ind w:firstLine="720"/>
      </w:pPr>
      <w:r w:rsidRPr="006D5E8F">
        <w:t>By His</w:t>
      </w:r>
      <w:r>
        <w:t xml:space="preserve"> own admission, Christ established His relationship to the Father as that of Servant, a qualification that Bahá’u’lláh also applied on occasion to His own Station: “Truly, truly, I say to you, a servant is not g</w:t>
      </w:r>
      <w:r w:rsidR="00855128">
        <w:t>r</w:t>
      </w:r>
      <w:r>
        <w:t>eater than his master; nor is he who is sent greater than he who sent him</w:t>
      </w:r>
      <w:r w:rsidR="00855128">
        <w:t>”</w:t>
      </w:r>
      <w:r>
        <w:t xml:space="preserve"> (John 1</w:t>
      </w:r>
      <w:r w:rsidR="00855128">
        <w:t>3</w:t>
      </w:r>
      <w:r>
        <w:t>:16). Christ even went so fa</w:t>
      </w:r>
      <w:r w:rsidR="00855128">
        <w:t>r</w:t>
      </w:r>
      <w:r>
        <w:t xml:space="preserve"> as to eschew Himself as a model of mo</w:t>
      </w:r>
      <w:r w:rsidR="00855128">
        <w:t>ra</w:t>
      </w:r>
      <w:r>
        <w:t xml:space="preserve">l perfection in order to illustrate the sanctified nature of the Divinity: </w:t>
      </w:r>
      <w:r w:rsidR="00855128">
        <w:t>“</w:t>
      </w:r>
      <w:r>
        <w:t xml:space="preserve">Why do you call me good? No one </w:t>
      </w:r>
      <w:r w:rsidR="00855128">
        <w:t>is</w:t>
      </w:r>
      <w:r>
        <w:t xml:space="preserve"> good but God alone</w:t>
      </w:r>
      <w:r w:rsidR="00855128">
        <w:t>”</w:t>
      </w:r>
      <w:r>
        <w:t xml:space="preserve"> (Mark 10:18). Not only did Christ indicate that the Father was more perfect and more powerful </w:t>
      </w:r>
      <w:r w:rsidR="00855128">
        <w:t>than</w:t>
      </w:r>
      <w:r>
        <w:t xml:space="preserve"> He but that the Divinity possessed a knowledge He did not fully share. This is reflected in one of Christ’s st</w:t>
      </w:r>
      <w:r w:rsidR="00855128">
        <w:t>atements on the second coming: “</w:t>
      </w:r>
      <w:r>
        <w:t>But of that day and hour no one knows, not even the angels of heaven, nor the Son, but the Fathe</w:t>
      </w:r>
      <w:r w:rsidR="00855128">
        <w:t>r</w:t>
      </w:r>
      <w:r>
        <w:t xml:space="preserve"> only</w:t>
      </w:r>
      <w:r w:rsidR="00855128">
        <w:t>”</w:t>
      </w:r>
      <w:r>
        <w:t xml:space="preserve"> (Matt</w:t>
      </w:r>
      <w:r w:rsidR="00855128">
        <w:t>.</w:t>
      </w:r>
      <w:r>
        <w:t xml:space="preserve"> 24:36). </w:t>
      </w:r>
    </w:p>
    <w:p w14:paraId="552346DF" w14:textId="77777777" w:rsidR="00544629" w:rsidRPr="00AA26CB" w:rsidRDefault="00544629" w:rsidP="00F013EB">
      <w:pPr>
        <w:pStyle w:val="NormalWeb"/>
        <w:spacing w:before="120" w:beforeAutospacing="0" w:after="120" w:afterAutospacing="0" w:line="300" w:lineRule="auto"/>
        <w:rPr>
          <w:b/>
          <w:i/>
        </w:rPr>
      </w:pPr>
      <w:r w:rsidRPr="00AA26CB">
        <w:rPr>
          <w:b/>
          <w:i/>
        </w:rPr>
        <w:t>T</w:t>
      </w:r>
      <w:r w:rsidR="00AA26CB" w:rsidRPr="00AA26CB">
        <w:rPr>
          <w:b/>
          <w:i/>
        </w:rPr>
        <w:t>he</w:t>
      </w:r>
      <w:r w:rsidRPr="00AA26CB">
        <w:rPr>
          <w:b/>
          <w:i/>
        </w:rPr>
        <w:t xml:space="preserve"> Gnostic Je</w:t>
      </w:r>
      <w:r w:rsidR="00AA26CB" w:rsidRPr="00AA26CB">
        <w:rPr>
          <w:b/>
          <w:i/>
        </w:rPr>
        <w:t>sus</w:t>
      </w:r>
      <w:r w:rsidRPr="00AA26CB">
        <w:rPr>
          <w:b/>
          <w:i/>
        </w:rPr>
        <w:t xml:space="preserve"> </w:t>
      </w:r>
    </w:p>
    <w:p w14:paraId="4562AF67" w14:textId="77777777" w:rsidR="00544629" w:rsidRDefault="00544629" w:rsidP="00F013EB">
      <w:pPr>
        <w:pStyle w:val="NormalWeb"/>
        <w:spacing w:before="120" w:beforeAutospacing="0" w:after="120" w:afterAutospacing="0" w:line="300" w:lineRule="auto"/>
      </w:pPr>
      <w:r>
        <w:t>AT THE SAME TIME that St</w:t>
      </w:r>
      <w:r w:rsidR="00AA26CB">
        <w:t>.</w:t>
      </w:r>
      <w:r>
        <w:t xml:space="preserve"> Paul was elaborating his exalted and</w:t>
      </w:r>
      <w:r w:rsidR="00AA26CB">
        <w:t xml:space="preserve"> mystical nations of Jesus, ther</w:t>
      </w:r>
      <w:r>
        <w:t>e were other Chris</w:t>
      </w:r>
      <w:r w:rsidR="00AA26CB">
        <w:t>ti</w:t>
      </w:r>
      <w:r>
        <w:t>ans who held obscure beliefs of Chris</w:t>
      </w:r>
      <w:r w:rsidR="00AA26CB">
        <w:t>t</w:t>
      </w:r>
      <w:r>
        <w:t xml:space="preserve"> and who were finally pronounced unorthodox by the Fathers of the Church. These were the G</w:t>
      </w:r>
      <w:r w:rsidR="00AA26CB">
        <w:t xml:space="preserve">nostics. </w:t>
      </w:r>
      <w:r w:rsidR="0020547A" w:rsidRPr="0020547A">
        <w:rPr>
          <w:rStyle w:val="FootnoteReference"/>
          <w:b/>
        </w:rPr>
        <w:footnoteReference w:id="14"/>
      </w:r>
      <w:r>
        <w:t xml:space="preserve"> Gnosticism was </w:t>
      </w:r>
      <w:r w:rsidR="00AA26CB">
        <w:t>o</w:t>
      </w:r>
      <w:r>
        <w:t xml:space="preserve">ne of </w:t>
      </w:r>
      <w:r>
        <w:lastRenderedPageBreak/>
        <w:t xml:space="preserve">those “popular </w:t>
      </w:r>
      <w:r w:rsidR="00AA26CB">
        <w:t>cult</w:t>
      </w:r>
      <w:r>
        <w:t>s</w:t>
      </w:r>
      <w:r w:rsidR="00AA26CB">
        <w:t>”</w:t>
      </w:r>
      <w:r>
        <w:t xml:space="preserve"> and “fashionable and evasive philosophies</w:t>
      </w:r>
      <w:r w:rsidR="00AA26CB">
        <w:t>”</w:t>
      </w:r>
      <w:r>
        <w:t xml:space="preserve"> mentioned by Shoghi Effendi as one of a g</w:t>
      </w:r>
      <w:r w:rsidR="00877DD4">
        <w:t>roup</w:t>
      </w:r>
      <w:r>
        <w:t xml:space="preserve"> of hybrid religions and philosophies in the Roman </w:t>
      </w:r>
      <w:r w:rsidR="00322F4F">
        <w:t>Empire</w:t>
      </w:r>
      <w:r>
        <w:t xml:space="preserve"> that threatened to engulf infant Christianity.</w:t>
      </w:r>
      <w:r w:rsidR="0020547A" w:rsidRPr="0020547A">
        <w:rPr>
          <w:rStyle w:val="FootnoteReference"/>
          <w:b/>
        </w:rPr>
        <w:footnoteReference w:id="15"/>
      </w:r>
      <w:r>
        <w:t xml:space="preserve"> Entire Christian communities on occasion adopted Gnosticism as their creed.</w:t>
      </w:r>
      <w:r w:rsidR="000520B5" w:rsidRPr="000520B5">
        <w:rPr>
          <w:rStyle w:val="FootnoteReference"/>
          <w:b/>
        </w:rPr>
        <w:footnoteReference w:id="16"/>
      </w:r>
      <w:r>
        <w:t xml:space="preserve"> The Church Fathers, Clement of Alexandria, Origen, and especially I</w:t>
      </w:r>
      <w:r w:rsidR="00877DD4">
        <w:t>r</w:t>
      </w:r>
      <w:r>
        <w:t>e</w:t>
      </w:r>
      <w:r w:rsidR="00877DD4">
        <w:t>na</w:t>
      </w:r>
      <w:r>
        <w:t>eus, Bishop of Lyons, arose to combat it fiercely in their writings</w:t>
      </w:r>
      <w:r w:rsidR="00877DD4">
        <w:t>.</w:t>
      </w:r>
      <w:r w:rsidR="005A60DA" w:rsidRPr="005A60DA">
        <w:rPr>
          <w:rStyle w:val="FootnoteReference"/>
          <w:b/>
        </w:rPr>
        <w:footnoteReference w:id="17"/>
      </w:r>
      <w:r w:rsidRPr="005A60DA">
        <w:rPr>
          <w:b/>
        </w:rPr>
        <w:t xml:space="preserve"> </w:t>
      </w:r>
    </w:p>
    <w:p w14:paraId="75EFECD0" w14:textId="77777777" w:rsidR="00544629" w:rsidRDefault="00544629" w:rsidP="00F013EB">
      <w:pPr>
        <w:pStyle w:val="NormalWeb"/>
        <w:spacing w:before="120" w:beforeAutospacing="0" w:after="120" w:afterAutospacing="0" w:line="300" w:lineRule="auto"/>
        <w:ind w:firstLine="720"/>
      </w:pPr>
      <w:r>
        <w:t>Gnos</w:t>
      </w:r>
      <w:r w:rsidR="00877DD4">
        <w:t>ti</w:t>
      </w:r>
      <w:r>
        <w:t xml:space="preserve">c Christians compromised the unique soteriological role of Jesus with their indiscriminate belief in a host of savior figures (Gk. </w:t>
      </w:r>
      <w:r w:rsidR="00877DD4" w:rsidRPr="00877DD4">
        <w:rPr>
          <w:i/>
        </w:rPr>
        <w:t>Soter</w:t>
      </w:r>
      <w:r>
        <w:t xml:space="preserve"> ‘savior</w:t>
      </w:r>
      <w:r w:rsidR="001B42F3">
        <w:t>’</w:t>
      </w:r>
      <w:r>
        <w:t xml:space="preserve">). Christ was in </w:t>
      </w:r>
      <w:r w:rsidR="00877DD4">
        <w:t>fact</w:t>
      </w:r>
      <w:r>
        <w:t xml:space="preserve"> often placed below othe</w:t>
      </w:r>
      <w:r w:rsidR="00877DD4">
        <w:t>r</w:t>
      </w:r>
      <w:r>
        <w:t xml:space="preserve"> saviors and lesser d</w:t>
      </w:r>
      <w:r w:rsidR="00877DD4">
        <w:t>i</w:t>
      </w:r>
      <w:r>
        <w:t xml:space="preserve">vinities (Gk. </w:t>
      </w:r>
      <w:r w:rsidR="00877DD4" w:rsidRPr="00877DD4">
        <w:rPr>
          <w:i/>
        </w:rPr>
        <w:t>aeons</w:t>
      </w:r>
      <w:r>
        <w:t xml:space="preserve">). This </w:t>
      </w:r>
      <w:r w:rsidR="00877DD4">
        <w:t>w</w:t>
      </w:r>
      <w:r>
        <w:t>as the case for the Gnostic churches of Ta</w:t>
      </w:r>
      <w:r w:rsidR="00877DD4">
        <w:t>r</w:t>
      </w:r>
      <w:r>
        <w:t xml:space="preserve">sus, Paul’s native city, which worshiped the supernatural powers of the Greek hero Heracles in an annual ceremony celebrating his death and </w:t>
      </w:r>
      <w:r w:rsidR="00877DD4">
        <w:t>r</w:t>
      </w:r>
      <w:r>
        <w:t>esur</w:t>
      </w:r>
      <w:r w:rsidR="00877DD4">
        <w:t>r</w:t>
      </w:r>
      <w:r>
        <w:t>ec</w:t>
      </w:r>
      <w:r w:rsidR="00877DD4">
        <w:t>ti</w:t>
      </w:r>
      <w:r>
        <w:t>on. Gnostic Chris</w:t>
      </w:r>
      <w:r w:rsidR="005F7D3A">
        <w:t>tians also compromised Christ’s soteriology in another way.</w:t>
      </w:r>
      <w:r w:rsidR="005A60DA">
        <w:t xml:space="preserve"> </w:t>
      </w:r>
      <w:r>
        <w:t>For those Christians who accepted Christ alone as Lord, salvation was a matter of faith in Christ’s sacrificial death on the cross. Gnostic held that salvation was won through gn</w:t>
      </w:r>
      <w:r w:rsidR="00556EC3">
        <w:t>o</w:t>
      </w:r>
      <w:r>
        <w:t>sis (Gk. ‘knowledge, insight</w:t>
      </w:r>
      <w:r w:rsidR="00556EC3">
        <w:t>’</w:t>
      </w:r>
      <w:r>
        <w:t>), which was viewed to be a higher state than faith. Their own form of gnosis was esoteric enough, sometimes held to be a secret knowledge transmitted by Christ to the Apostles and in turn to the leaders of Gnostic cults</w:t>
      </w:r>
      <w:r w:rsidR="00556EC3">
        <w:t xml:space="preserve">. </w:t>
      </w:r>
      <w:r w:rsidR="00057C08" w:rsidRPr="00057C08">
        <w:rPr>
          <w:rStyle w:val="FootnoteReference"/>
          <w:b/>
        </w:rPr>
        <w:footnoteReference w:id="18"/>
      </w:r>
      <w:r>
        <w:t xml:space="preserve"> Shoghi Ef</w:t>
      </w:r>
      <w:r w:rsidR="00556EC3">
        <w:t>f</w:t>
      </w:r>
      <w:r>
        <w:t>end</w:t>
      </w:r>
      <w:r w:rsidR="00556EC3">
        <w:t>i</w:t>
      </w:r>
      <w:r w:rsidR="002652CE">
        <w:t>’</w:t>
      </w:r>
      <w:r>
        <w:t>s description of Gnosticism as “evasive</w:t>
      </w:r>
      <w:r w:rsidR="00556EC3">
        <w:t>”</w:t>
      </w:r>
      <w:r>
        <w:t xml:space="preserve"> indicates that the Gn</w:t>
      </w:r>
      <w:r w:rsidR="00556EC3">
        <w:t>osti</w:t>
      </w:r>
      <w:r>
        <w:t>c community never held to fixed tenets of belief.</w:t>
      </w:r>
      <w:r w:rsidR="0064529B" w:rsidRPr="009B262B">
        <w:rPr>
          <w:rStyle w:val="FootnoteReference"/>
          <w:b/>
        </w:rPr>
        <w:footnoteReference w:id="19"/>
      </w:r>
      <w:r>
        <w:t xml:space="preserve"> </w:t>
      </w:r>
    </w:p>
    <w:p w14:paraId="105CE512" w14:textId="77777777" w:rsidR="00544629" w:rsidRDefault="00544629" w:rsidP="00F013EB">
      <w:pPr>
        <w:pStyle w:val="NormalWeb"/>
        <w:spacing w:before="120" w:beforeAutospacing="0" w:after="120" w:afterAutospacing="0" w:line="300" w:lineRule="auto"/>
        <w:ind w:firstLine="720"/>
      </w:pPr>
      <w:r>
        <w:t>Lacking a widely circulated scripture, the church at Rome formulated the first of the c</w:t>
      </w:r>
      <w:r w:rsidR="008121B2">
        <w:t>r</w:t>
      </w:r>
      <w:r>
        <w:t xml:space="preserve">eeds, an orthodox doctrinal statement, to combat the Gnostic heresy (Gk. </w:t>
      </w:r>
      <w:r w:rsidR="008121B2" w:rsidRPr="008121B2">
        <w:rPr>
          <w:i/>
        </w:rPr>
        <w:t>hairesis</w:t>
      </w:r>
      <w:r w:rsidR="008121B2">
        <w:t xml:space="preserve"> ‘</w:t>
      </w:r>
      <w:r>
        <w:t>party, school’). The Apostles’ Creed, composed between A</w:t>
      </w:r>
      <w:r w:rsidR="007F6B76">
        <w:t>.D.</w:t>
      </w:r>
      <w:r>
        <w:t xml:space="preserve"> 150</w:t>
      </w:r>
      <w:r w:rsidR="007F6B76">
        <w:t>-</w:t>
      </w:r>
      <w:r>
        <w:t xml:space="preserve">75, alluded to the uniqueness of </w:t>
      </w:r>
      <w:r>
        <w:lastRenderedPageBreak/>
        <w:t>J</w:t>
      </w:r>
      <w:r w:rsidR="007F6B76">
        <w:t>e</w:t>
      </w:r>
      <w:r>
        <w:t>sus as the “only Son, our Lord,</w:t>
      </w:r>
      <w:r w:rsidR="007F6B76">
        <w:t>”</w:t>
      </w:r>
      <w:r>
        <w:t xml:space="preserve"> to counteract G</w:t>
      </w:r>
      <w:r w:rsidR="007F6B76">
        <w:t>nostic</w:t>
      </w:r>
      <w:r w:rsidR="00D81A3A">
        <w:t>is</w:t>
      </w:r>
      <w:r w:rsidR="007F6B76">
        <w:t>m’s submer</w:t>
      </w:r>
      <w:r>
        <w:t>ging of Jesus in a</w:t>
      </w:r>
      <w:r w:rsidR="007F6B76">
        <w:t xml:space="preserve"> </w:t>
      </w:r>
      <w:r>
        <w:t>host of other deities.</w:t>
      </w:r>
      <w:r w:rsidR="002B5C43" w:rsidRPr="002B5C43">
        <w:rPr>
          <w:rStyle w:val="FootnoteReference"/>
          <w:b/>
        </w:rPr>
        <w:footnoteReference w:id="20"/>
      </w:r>
      <w:r>
        <w:t xml:space="preserve"> To combat further the evasive teaching of esoteric Gnostic leaders, the Church Fathers recognized as authoritative teaching only the New Testament, which had derived directly from apostolic teaching.</w:t>
      </w:r>
      <w:r w:rsidR="00CA1D6A" w:rsidRPr="00CA1D6A">
        <w:rPr>
          <w:rStyle w:val="FootnoteReference"/>
          <w:b/>
        </w:rPr>
        <w:footnoteReference w:id="21"/>
      </w:r>
      <w:r w:rsidRPr="00CA1D6A">
        <w:rPr>
          <w:b/>
        </w:rPr>
        <w:t xml:space="preserve"> </w:t>
      </w:r>
    </w:p>
    <w:p w14:paraId="56CCA09B" w14:textId="77777777" w:rsidR="00544629" w:rsidRPr="007F6B76" w:rsidRDefault="00544629" w:rsidP="00F013EB">
      <w:pPr>
        <w:pStyle w:val="NormalWeb"/>
        <w:spacing w:before="120" w:beforeAutospacing="0" w:after="120" w:afterAutospacing="0" w:line="300" w:lineRule="auto"/>
        <w:rPr>
          <w:b/>
          <w:i/>
        </w:rPr>
      </w:pPr>
      <w:r w:rsidRPr="007F6B76">
        <w:rPr>
          <w:b/>
          <w:i/>
        </w:rPr>
        <w:t>T</w:t>
      </w:r>
      <w:r w:rsidR="007F6B76" w:rsidRPr="007F6B76">
        <w:rPr>
          <w:b/>
          <w:i/>
        </w:rPr>
        <w:t xml:space="preserve">he </w:t>
      </w:r>
      <w:r w:rsidR="009B6F20">
        <w:rPr>
          <w:b/>
          <w:i/>
        </w:rPr>
        <w:t xml:space="preserve">Christological </w:t>
      </w:r>
      <w:r w:rsidR="007F6B76" w:rsidRPr="007F6B76">
        <w:rPr>
          <w:b/>
          <w:i/>
        </w:rPr>
        <w:t>Controversies</w:t>
      </w:r>
      <w:r w:rsidRPr="007F6B76">
        <w:rPr>
          <w:b/>
          <w:i/>
        </w:rPr>
        <w:t xml:space="preserve"> </w:t>
      </w:r>
    </w:p>
    <w:p w14:paraId="033A3593" w14:textId="77777777" w:rsidR="00544629" w:rsidRDefault="00544629" w:rsidP="00F013EB">
      <w:pPr>
        <w:pStyle w:val="NormalWeb"/>
        <w:spacing w:before="120" w:beforeAutospacing="0" w:after="120" w:afterAutospacing="0" w:line="300" w:lineRule="auto"/>
      </w:pPr>
      <w:r w:rsidRPr="005015A2">
        <w:rPr>
          <w:i/>
        </w:rPr>
        <w:t>T</w:t>
      </w:r>
      <w:r w:rsidR="005015A2" w:rsidRPr="005015A2">
        <w:rPr>
          <w:i/>
        </w:rPr>
        <w:t>he</w:t>
      </w:r>
      <w:r w:rsidRPr="005015A2">
        <w:rPr>
          <w:i/>
        </w:rPr>
        <w:t xml:space="preserve"> S</w:t>
      </w:r>
      <w:r w:rsidR="005015A2" w:rsidRPr="005015A2">
        <w:rPr>
          <w:i/>
        </w:rPr>
        <w:t>ch</w:t>
      </w:r>
      <w:r w:rsidRPr="005015A2">
        <w:rPr>
          <w:i/>
        </w:rPr>
        <w:t>ism of Ariu</w:t>
      </w:r>
      <w:r w:rsidR="005015A2" w:rsidRPr="005015A2">
        <w:rPr>
          <w:i/>
        </w:rPr>
        <w:t>s</w:t>
      </w:r>
      <w:r w:rsidRPr="005015A2">
        <w:rPr>
          <w:i/>
        </w:rPr>
        <w:t xml:space="preserve"> and the De</w:t>
      </w:r>
      <w:r w:rsidR="005015A2" w:rsidRPr="005015A2">
        <w:rPr>
          <w:i/>
        </w:rPr>
        <w:t>v</w:t>
      </w:r>
      <w:r w:rsidRPr="005015A2">
        <w:rPr>
          <w:i/>
        </w:rPr>
        <w:t>elopme</w:t>
      </w:r>
      <w:r w:rsidR="005015A2" w:rsidRPr="005015A2">
        <w:rPr>
          <w:i/>
        </w:rPr>
        <w:t>nt</w:t>
      </w:r>
      <w:r w:rsidRPr="005015A2">
        <w:rPr>
          <w:i/>
        </w:rPr>
        <w:t xml:space="preserve"> </w:t>
      </w:r>
      <w:r w:rsidR="005015A2" w:rsidRPr="005015A2">
        <w:rPr>
          <w:i/>
        </w:rPr>
        <w:t>o</w:t>
      </w:r>
      <w:r w:rsidRPr="005015A2">
        <w:rPr>
          <w:i/>
        </w:rPr>
        <w:t>f the Trinity.</w:t>
      </w:r>
      <w:r>
        <w:t xml:space="preserve"> By the end of the second century the force of the Gnostic movement with its competing savior figures was wel</w:t>
      </w:r>
      <w:r w:rsidR="005015A2">
        <w:t>l-</w:t>
      </w:r>
      <w:r>
        <w:t xml:space="preserve">nigh spent. In the second, third, and fourth centuries Christology continued to occupy the central place </w:t>
      </w:r>
      <w:r w:rsidR="005015A2">
        <w:t>i</w:t>
      </w:r>
      <w:r>
        <w:t xml:space="preserve">n the </w:t>
      </w:r>
      <w:r w:rsidR="005015A2">
        <w:t>w</w:t>
      </w:r>
      <w:r>
        <w:t xml:space="preserve">ritings of the Fathers. But </w:t>
      </w:r>
      <w:r w:rsidR="009B6F20">
        <w:t>Chri</w:t>
      </w:r>
      <w:r w:rsidR="00FE7E92">
        <w:t xml:space="preserve">stological </w:t>
      </w:r>
      <w:r>
        <w:t xml:space="preserve">writing at this stage was characterized by greater </w:t>
      </w:r>
      <w:r w:rsidR="005015A2">
        <w:t>c</w:t>
      </w:r>
      <w:r>
        <w:t xml:space="preserve">ontroversy than in earlier generations, controversy that finally escalated into open warfare between sectarians. </w:t>
      </w:r>
    </w:p>
    <w:p w14:paraId="6B260504" w14:textId="77777777" w:rsidR="00544629" w:rsidRDefault="00544629" w:rsidP="00F013EB">
      <w:pPr>
        <w:pStyle w:val="NormalWeb"/>
        <w:spacing w:before="120" w:beforeAutospacing="0" w:after="120" w:afterAutospacing="0" w:line="300" w:lineRule="auto"/>
        <w:ind w:firstLine="720"/>
      </w:pPr>
      <w:r>
        <w:t>In the second and third centu</w:t>
      </w:r>
      <w:r w:rsidR="005015A2">
        <w:t>ri</w:t>
      </w:r>
      <w:r>
        <w:t>es the church experienced disse</w:t>
      </w:r>
      <w:r w:rsidR="005015A2">
        <w:t>nsi</w:t>
      </w:r>
      <w:r>
        <w:t>on over the Mona</w:t>
      </w:r>
      <w:r w:rsidR="005015A2">
        <w:t>r</w:t>
      </w:r>
      <w:r>
        <w:t xml:space="preserve">chian controversy. Although this </w:t>
      </w:r>
      <w:r w:rsidR="009B6F20">
        <w:t>Christological</w:t>
      </w:r>
      <w:r w:rsidR="00FE7E92">
        <w:t xml:space="preserve"> </w:t>
      </w:r>
      <w:r>
        <w:t>cont</w:t>
      </w:r>
      <w:r w:rsidR="00BB1EFD">
        <w:t>ro</w:t>
      </w:r>
      <w:r>
        <w:t>versy provoked great debate, it did not seriously disturb Christian unity and died quietly toward the end of the third century.</w:t>
      </w:r>
      <w:r w:rsidR="00CA1D6A" w:rsidRPr="00CA1D6A">
        <w:rPr>
          <w:rStyle w:val="FootnoteReference"/>
          <w:b/>
        </w:rPr>
        <w:footnoteReference w:id="22"/>
      </w:r>
    </w:p>
    <w:p w14:paraId="2C9B68A3" w14:textId="77777777" w:rsidR="00544629" w:rsidRDefault="00544629" w:rsidP="00F013EB">
      <w:pPr>
        <w:pStyle w:val="NormalWeb"/>
        <w:spacing w:before="120" w:beforeAutospacing="0" w:after="120" w:afterAutospacing="0" w:line="300" w:lineRule="auto"/>
        <w:ind w:firstLine="720"/>
      </w:pPr>
      <w:r>
        <w:t xml:space="preserve">The fourth century, however, witnessed a shock wave of major proportions that was felt throughout Christendom. ‘Abdu’l-Bahá has referred to its disastrous effects </w:t>
      </w:r>
      <w:r w:rsidR="00C91373">
        <w:t>on</w:t>
      </w:r>
      <w:r>
        <w:t xml:space="preserve"> the unity of the Christian faith: </w:t>
      </w:r>
    </w:p>
    <w:p w14:paraId="6109FB45" w14:textId="77777777" w:rsidR="00D95B8D" w:rsidRDefault="00544629" w:rsidP="00F013EB">
      <w:pPr>
        <w:pStyle w:val="NormalWeb"/>
        <w:spacing w:before="120" w:beforeAutospacing="0" w:after="120" w:afterAutospacing="0" w:line="300" w:lineRule="auto"/>
        <w:ind w:firstLine="720"/>
      </w:pPr>
      <w:r>
        <w:t xml:space="preserve">Even after Christ, Arius, the well-known patriarch, was the cause of a widespread schism in the </w:t>
      </w:r>
    </w:p>
    <w:p w14:paraId="56F97FE6" w14:textId="77777777" w:rsidR="00D95B8D" w:rsidRDefault="00544629" w:rsidP="00F013EB">
      <w:pPr>
        <w:pStyle w:val="NormalWeb"/>
        <w:spacing w:before="120" w:beforeAutospacing="0" w:after="120" w:afterAutospacing="0" w:line="300" w:lineRule="auto"/>
        <w:ind w:firstLine="720"/>
      </w:pPr>
      <w:r>
        <w:t xml:space="preserve">Cause of God and intense agitation among the believers. His followers numbered even three </w:t>
      </w:r>
    </w:p>
    <w:p w14:paraId="3CAC81BB" w14:textId="77777777" w:rsidR="00D95B8D" w:rsidRDefault="00544629" w:rsidP="00F013EB">
      <w:pPr>
        <w:pStyle w:val="NormalWeb"/>
        <w:spacing w:before="120" w:beforeAutospacing="0" w:after="120" w:afterAutospacing="0" w:line="300" w:lineRule="auto"/>
        <w:ind w:firstLine="720"/>
      </w:pPr>
      <w:r>
        <w:t>million, and he as well as his successo</w:t>
      </w:r>
      <w:r w:rsidR="00D3049B">
        <w:t>r</w:t>
      </w:r>
      <w:r>
        <w:t xml:space="preserve">s exerted the utmost effort in order to produce a split and </w:t>
      </w:r>
    </w:p>
    <w:p w14:paraId="40F9C158" w14:textId="77777777" w:rsidR="00D95B8D" w:rsidRDefault="00544629" w:rsidP="00F013EB">
      <w:pPr>
        <w:pStyle w:val="NormalWeb"/>
        <w:spacing w:before="120" w:beforeAutospacing="0" w:after="120" w:afterAutospacing="0" w:line="300" w:lineRule="auto"/>
        <w:ind w:firstLine="720"/>
      </w:pPr>
      <w:r>
        <w:t>a widespread commotion in the religion of God.</w:t>
      </w:r>
      <w:r w:rsidR="00CA1D6A" w:rsidRPr="00CA1D6A">
        <w:rPr>
          <w:rStyle w:val="FootnoteReference"/>
          <w:b/>
        </w:rPr>
        <w:footnoteReference w:id="23"/>
      </w:r>
      <w:r>
        <w:t xml:space="preserve"> </w:t>
      </w:r>
    </w:p>
    <w:p w14:paraId="487B21B6" w14:textId="77777777" w:rsidR="00544629" w:rsidRDefault="00544629" w:rsidP="00F013EB">
      <w:pPr>
        <w:pStyle w:val="NormalWeb"/>
        <w:spacing w:before="120" w:beforeAutospacing="0" w:after="120" w:afterAutospacing="0" w:line="300" w:lineRule="auto"/>
      </w:pPr>
      <w:r>
        <w:lastRenderedPageBreak/>
        <w:t>Aside from naming A</w:t>
      </w:r>
      <w:r w:rsidR="00D3049B">
        <w:t>ri</w:t>
      </w:r>
      <w:r>
        <w:t>us a</w:t>
      </w:r>
      <w:r w:rsidR="00D3049B">
        <w:t>s</w:t>
      </w:r>
      <w:r>
        <w:t xml:space="preserve"> a violator of Christianity, ‘Abdu’l-Bahá clearly indicates that Arius essent</w:t>
      </w:r>
      <w:r w:rsidR="00D95B8D">
        <w:t>i</w:t>
      </w:r>
      <w:r>
        <w:t>ally used a the</w:t>
      </w:r>
      <w:r w:rsidR="00D95B8D">
        <w:t>o</w:t>
      </w:r>
      <w:r>
        <w:t>logical pretext for achieving power, a connivance common to violators in all dispensations.</w:t>
      </w:r>
      <w:r w:rsidR="00CA1D6A">
        <w:rPr>
          <w:rStyle w:val="FootnoteReference"/>
          <w:b/>
        </w:rPr>
        <w:footnoteReference w:id="24"/>
      </w:r>
      <w:r w:rsidRPr="00D95B8D">
        <w:rPr>
          <w:b/>
          <w:vertAlign w:val="superscript"/>
        </w:rPr>
        <w:t xml:space="preserve"> </w:t>
      </w:r>
    </w:p>
    <w:p w14:paraId="36C92DAB" w14:textId="77777777" w:rsidR="00544629" w:rsidRDefault="00544629" w:rsidP="00F013EB">
      <w:pPr>
        <w:pStyle w:val="NormalWeb"/>
        <w:spacing w:before="120" w:beforeAutospacing="0" w:after="120" w:afterAutospacing="0" w:line="300" w:lineRule="auto"/>
        <w:ind w:firstLine="720"/>
      </w:pPr>
      <w:r>
        <w:t>A</w:t>
      </w:r>
      <w:r w:rsidR="00D95B8D">
        <w:t>r</w:t>
      </w:r>
      <w:r>
        <w:t>ius was a learned priest</w:t>
      </w:r>
      <w:r w:rsidR="00D3049B">
        <w:t xml:space="preserve"> from Alexandria who quarreled wi</w:t>
      </w:r>
      <w:r>
        <w:t>th his bishop, Alexander. The disputation began with A</w:t>
      </w:r>
      <w:r w:rsidR="00D3049B">
        <w:t>r</w:t>
      </w:r>
      <w:r>
        <w:t>ius</w:t>
      </w:r>
      <w:r w:rsidR="00D3049B">
        <w:t>’</w:t>
      </w:r>
      <w:r>
        <w:t xml:space="preserve"> assertion that the Son, even as the Logos, the Div</w:t>
      </w:r>
      <w:r w:rsidR="00D3049B">
        <w:t>in</w:t>
      </w:r>
      <w:r>
        <w:t xml:space="preserve">e Word, </w:t>
      </w:r>
      <w:r w:rsidR="00D3049B">
        <w:t>was infer</w:t>
      </w:r>
      <w:r>
        <w:t>io</w:t>
      </w:r>
      <w:r w:rsidR="00D3049B">
        <w:t>r</w:t>
      </w:r>
      <w:r>
        <w:t xml:space="preserve"> to the Fathe</w:t>
      </w:r>
      <w:r w:rsidR="005C150C">
        <w:t>r</w:t>
      </w:r>
      <w:r>
        <w:t>. He held that Christ, like other beings, was c</w:t>
      </w:r>
      <w:r w:rsidR="005C150C">
        <w:t>reated ex n</w:t>
      </w:r>
      <w:r>
        <w:t>ihilo by God and was, therefore, a created and finite being</w:t>
      </w:r>
      <w:r w:rsidR="005C150C">
        <w:t>.</w:t>
      </w:r>
      <w:r>
        <w:t xml:space="preserve"> He also argued that Christ had a beginning </w:t>
      </w:r>
      <w:r w:rsidR="005C150C">
        <w:t>w</w:t>
      </w:r>
      <w:r>
        <w:t xml:space="preserve">hereas the Father was eternal: </w:t>
      </w:r>
      <w:r w:rsidR="00DA3172">
        <w:t>“</w:t>
      </w:r>
      <w:r>
        <w:t>We a</w:t>
      </w:r>
      <w:r w:rsidR="00A660C5">
        <w:t>r</w:t>
      </w:r>
      <w:r>
        <w:t>e pe</w:t>
      </w:r>
      <w:r w:rsidR="00DA3172">
        <w:t>r</w:t>
      </w:r>
      <w:r>
        <w:t>secuted because we say the Sun has a beginning whereas God is without beginning.</w:t>
      </w:r>
      <w:r w:rsidR="00DA3172">
        <w:t xml:space="preserve">” </w:t>
      </w:r>
      <w:r w:rsidR="004A7595" w:rsidRPr="004A7595">
        <w:rPr>
          <w:rStyle w:val="FootnoteReference"/>
          <w:b/>
        </w:rPr>
        <w:footnoteReference w:id="25"/>
      </w:r>
      <w:r>
        <w:t xml:space="preserve"> Alexander took issue with A</w:t>
      </w:r>
      <w:r w:rsidR="00DA3172">
        <w:t>r</w:t>
      </w:r>
      <w:r>
        <w:t>ius, holding to the orthodox belief that the Son as Logos was eternal, uncreated, and of the same essence or substance as God. The most serious of</w:t>
      </w:r>
      <w:r w:rsidR="00894752">
        <w:t>f</w:t>
      </w:r>
      <w:r>
        <w:t>ense of A</w:t>
      </w:r>
      <w:r w:rsidR="00894752">
        <w:t>r</w:t>
      </w:r>
      <w:r>
        <w:t xml:space="preserve">ius’ teaching in orthodox eyes </w:t>
      </w:r>
      <w:r w:rsidR="00894752">
        <w:t>w</w:t>
      </w:r>
      <w:r>
        <w:t>as its debas</w:t>
      </w:r>
      <w:r w:rsidR="00894752">
        <w:t>i</w:t>
      </w:r>
      <w:r>
        <w:t>ng subordination of Jesus</w:t>
      </w:r>
      <w:r w:rsidR="00894752">
        <w:t>.</w:t>
      </w:r>
      <w:r>
        <w:t xml:space="preserve"> Arius argued that Christ was liable to change in regard to His divine nature anal even </w:t>
      </w:r>
      <w:r w:rsidR="00894752">
        <w:t>to</w:t>
      </w:r>
      <w:r>
        <w:t xml:space="preserve"> sin. The appellation “Son of God</w:t>
      </w:r>
      <w:r w:rsidR="00894752">
        <w:t>”</w:t>
      </w:r>
      <w:r>
        <w:t xml:space="preserve"> was for the Arian</w:t>
      </w:r>
      <w:r w:rsidR="00894752">
        <w:t>s</w:t>
      </w:r>
      <w:r>
        <w:t xml:space="preserve"> a courtesy </w:t>
      </w:r>
      <w:r w:rsidR="00894752">
        <w:t>titl</w:t>
      </w:r>
      <w:r>
        <w:t xml:space="preserve">e </w:t>
      </w:r>
      <w:r w:rsidR="00894752">
        <w:t>r</w:t>
      </w:r>
      <w:r>
        <w:t>athe</w:t>
      </w:r>
      <w:r w:rsidR="00894752">
        <w:t>r</w:t>
      </w:r>
      <w:r>
        <w:t xml:space="preserve"> than an indication of Christ’s divine origin. </w:t>
      </w:r>
    </w:p>
    <w:p w14:paraId="5EE9B7D6" w14:textId="77777777" w:rsidR="00A778CA" w:rsidRDefault="00544629" w:rsidP="00F013EB">
      <w:pPr>
        <w:pStyle w:val="NormalWeb"/>
        <w:spacing w:before="120" w:beforeAutospacing="0" w:after="120" w:afterAutospacing="0" w:line="300" w:lineRule="auto"/>
        <w:ind w:firstLine="720"/>
      </w:pPr>
      <w:r>
        <w:t>Alexander summoned a provincial synod and had Arius excommunicated in A</w:t>
      </w:r>
      <w:r w:rsidR="00323648">
        <w:t>.</w:t>
      </w:r>
      <w:r>
        <w:t>D. 321</w:t>
      </w:r>
      <w:r w:rsidR="00D30156">
        <w:t>.</w:t>
      </w:r>
      <w:r>
        <w:t xml:space="preserve"> The banished Arius refused to submit and won a large following in Palestine. His supporters spread the controversy from Palestine all over the eastern Greek episcopates (bishop</w:t>
      </w:r>
      <w:r w:rsidR="00A778CA">
        <w:t>r</w:t>
      </w:r>
      <w:r>
        <w:t>ics)</w:t>
      </w:r>
      <w:r w:rsidR="00A778CA">
        <w:t>.</w:t>
      </w:r>
      <w:r>
        <w:t xml:space="preserve"> Constantine, the newly converted Christian king, anxious to preserve the </w:t>
      </w:r>
      <w:r w:rsidR="00322F4F">
        <w:t>Empire</w:t>
      </w:r>
      <w:r>
        <w:t xml:space="preserve"> from schism, summoned the first e</w:t>
      </w:r>
      <w:r w:rsidR="00A778CA">
        <w:t>cu</w:t>
      </w:r>
      <w:r>
        <w:t>menical council of the church at Nicaea, across the Bospho</w:t>
      </w:r>
      <w:r w:rsidR="00A778CA">
        <w:t>r</w:t>
      </w:r>
      <w:r>
        <w:t>us from C</w:t>
      </w:r>
      <w:r w:rsidR="00A778CA">
        <w:t>o</w:t>
      </w:r>
      <w:r>
        <w:t>nstanti</w:t>
      </w:r>
      <w:r w:rsidR="00A778CA">
        <w:t xml:space="preserve">nople. </w:t>
      </w:r>
      <w:r w:rsidR="004A7595" w:rsidRPr="00C82495">
        <w:rPr>
          <w:rStyle w:val="FootnoteReference"/>
          <w:b/>
        </w:rPr>
        <w:footnoteReference w:id="26"/>
      </w:r>
      <w:r>
        <w:t xml:space="preserve"> ‘Abdu’l-Bahá</w:t>
      </w:r>
      <w:r w:rsidR="00A778CA">
        <w:t>’</w:t>
      </w:r>
      <w:r>
        <w:t xml:space="preserve">s commentary on Constantine speaks favorably of his great spirituality and administrative skill: </w:t>
      </w:r>
      <w:r w:rsidR="00A778CA">
        <w:t>“</w:t>
      </w:r>
      <w:r>
        <w:t xml:space="preserve">He spared no efforts, dedicating his life to the promotion of the principles of the Gospel, and he solidly </w:t>
      </w:r>
      <w:r w:rsidR="00A778CA">
        <w:t xml:space="preserve">established the Roman government, which in reality had been nothing but a system of unrelieved oppression, on moderation and justice.” </w:t>
      </w:r>
      <w:r w:rsidR="00C82495" w:rsidRPr="00C82495">
        <w:rPr>
          <w:rStyle w:val="FootnoteReference"/>
          <w:b/>
        </w:rPr>
        <w:footnoteReference w:id="27"/>
      </w:r>
      <w:r w:rsidR="00A778CA">
        <w:t xml:space="preserve"> ‘Abdu’l-</w:t>
      </w:r>
      <w:r w:rsidR="00A778CA">
        <w:lastRenderedPageBreak/>
        <w:t xml:space="preserve">Bahá’s favorable assessment of Constantine is not shared by all historians, some of when view his intervention in spiritual matters as a means of gaining ascendency over his political opponents. </w:t>
      </w:r>
      <w:r w:rsidR="00087890" w:rsidRPr="005C459D">
        <w:rPr>
          <w:rStyle w:val="FootnoteReference"/>
          <w:b/>
        </w:rPr>
        <w:footnoteReference w:id="28"/>
      </w:r>
      <w:r w:rsidR="00A778CA">
        <w:t xml:space="preserve"> </w:t>
      </w:r>
    </w:p>
    <w:p w14:paraId="473E67DB" w14:textId="77777777" w:rsidR="00544629" w:rsidRDefault="00544629" w:rsidP="00F013EB">
      <w:pPr>
        <w:pStyle w:val="NormalWeb"/>
        <w:spacing w:before="120" w:beforeAutospacing="0" w:after="120" w:afterAutospacing="0" w:line="300" w:lineRule="auto"/>
        <w:ind w:firstLine="720"/>
      </w:pPr>
      <w:r>
        <w:t>The point at issue at Nicaea was whether Christ was simply like the Father, much in the same way as an image would resemble its perfect archetype, or whether He was of the same essence or substance as God, the very matter of Divinity. The 220 de</w:t>
      </w:r>
      <w:r w:rsidR="00E502B3">
        <w:t>l</w:t>
      </w:r>
      <w:r>
        <w:t xml:space="preserve">egate bishops were separated quite </w:t>
      </w:r>
      <w:r w:rsidR="00E502B3">
        <w:t>l</w:t>
      </w:r>
      <w:r>
        <w:t xml:space="preserve">iterally by a mere letter of the Greek alphabet (Gk. </w:t>
      </w:r>
      <w:r w:rsidR="00E502B3" w:rsidRPr="00C1680F">
        <w:rPr>
          <w:i/>
        </w:rPr>
        <w:t>h</w:t>
      </w:r>
      <w:r w:rsidRPr="00C1680F">
        <w:rPr>
          <w:i/>
        </w:rPr>
        <w:t>omoo</w:t>
      </w:r>
      <w:r w:rsidR="00E502B3" w:rsidRPr="00C1680F">
        <w:rPr>
          <w:i/>
        </w:rPr>
        <w:t>us</w:t>
      </w:r>
      <w:r w:rsidRPr="00C1680F">
        <w:rPr>
          <w:i/>
        </w:rPr>
        <w:t>io</w:t>
      </w:r>
      <w:r w:rsidR="00E502B3" w:rsidRPr="00C1680F">
        <w:rPr>
          <w:i/>
        </w:rPr>
        <w:t>s</w:t>
      </w:r>
      <w:r>
        <w:t xml:space="preserve"> ‘of the same substance’; </w:t>
      </w:r>
      <w:r w:rsidR="00C1680F" w:rsidRPr="00C1680F">
        <w:rPr>
          <w:i/>
        </w:rPr>
        <w:t>h</w:t>
      </w:r>
      <w:r w:rsidRPr="00C1680F">
        <w:rPr>
          <w:i/>
        </w:rPr>
        <w:t>om</w:t>
      </w:r>
      <w:r w:rsidR="00C1680F" w:rsidRPr="00C1680F">
        <w:rPr>
          <w:i/>
        </w:rPr>
        <w:t>o</w:t>
      </w:r>
      <w:r w:rsidRPr="00C1680F">
        <w:rPr>
          <w:i/>
        </w:rPr>
        <w:t>io</w:t>
      </w:r>
      <w:r w:rsidR="00C1680F" w:rsidRPr="00C1680F">
        <w:rPr>
          <w:i/>
        </w:rPr>
        <w:t>us</w:t>
      </w:r>
      <w:r w:rsidRPr="00C1680F">
        <w:rPr>
          <w:i/>
        </w:rPr>
        <w:t>io</w:t>
      </w:r>
      <w:r w:rsidR="00C1680F" w:rsidRPr="00C1680F">
        <w:rPr>
          <w:i/>
        </w:rPr>
        <w:t>s</w:t>
      </w:r>
      <w:r>
        <w:t xml:space="preserve"> ‘of like substance</w:t>
      </w:r>
      <w:r w:rsidR="00C1680F">
        <w:t>’</w:t>
      </w:r>
      <w:r>
        <w:t>). Bish</w:t>
      </w:r>
      <w:r w:rsidR="00C1680F">
        <w:t>o</w:t>
      </w:r>
      <w:r>
        <w:t>p A</w:t>
      </w:r>
      <w:r w:rsidR="00C1680F">
        <w:t>t</w:t>
      </w:r>
      <w:r>
        <w:t>hanasius of Alexandria and his party defended Christ</w:t>
      </w:r>
      <w:r w:rsidR="00C1680F">
        <w:t>’</w:t>
      </w:r>
      <w:r>
        <w:t>s full divinity and coequality with the Father, a position deriving from Logos theology. Eusebius of Caese</w:t>
      </w:r>
      <w:r w:rsidR="00C1680F">
        <w:t>r</w:t>
      </w:r>
      <w:r>
        <w:t xml:space="preserve">ea, </w:t>
      </w:r>
      <w:r w:rsidR="00C1680F">
        <w:t>“</w:t>
      </w:r>
      <w:r>
        <w:t>father of church history,</w:t>
      </w:r>
      <w:r w:rsidR="00C1680F">
        <w:t>”</w:t>
      </w:r>
      <w:r>
        <w:t xml:space="preserve"> stood by the dictum </w:t>
      </w:r>
      <w:r w:rsidR="00C1680F">
        <w:t>“</w:t>
      </w:r>
      <w:r>
        <w:t>Sela Scriptu</w:t>
      </w:r>
      <w:r w:rsidR="00C1680F">
        <w:t>r</w:t>
      </w:r>
      <w:r>
        <w:t>a</w:t>
      </w:r>
      <w:r w:rsidR="00C1680F">
        <w:t>”</w:t>
      </w:r>
      <w:r>
        <w:t xml:space="preserve"> and argued for the </w:t>
      </w:r>
      <w:r w:rsidR="00C1680F" w:rsidRPr="00C1680F">
        <w:rPr>
          <w:i/>
        </w:rPr>
        <w:t>homoiousios</w:t>
      </w:r>
      <w:r>
        <w:t>’</w:t>
      </w:r>
      <w:r w:rsidR="00C1680F">
        <w:t xml:space="preserve"> s</w:t>
      </w:r>
      <w:r>
        <w:t xml:space="preserve">ince </w:t>
      </w:r>
      <w:r w:rsidR="00C1680F" w:rsidRPr="00C1680F">
        <w:rPr>
          <w:i/>
        </w:rPr>
        <w:t>ousia</w:t>
      </w:r>
      <w:r>
        <w:t xml:space="preserve"> (Gk</w:t>
      </w:r>
      <w:r w:rsidR="00C1680F">
        <w:t>.</w:t>
      </w:r>
      <w:r>
        <w:t xml:space="preserve"> </w:t>
      </w:r>
      <w:r w:rsidR="00C1680F">
        <w:t>‘</w:t>
      </w:r>
      <w:r>
        <w:t>substance, essence</w:t>
      </w:r>
      <w:r w:rsidR="00C1680F">
        <w:t>’</w:t>
      </w:r>
      <w:r>
        <w:t>) was nor a biblical te</w:t>
      </w:r>
      <w:r w:rsidR="00C1680F">
        <w:t>rm</w:t>
      </w:r>
      <w:r>
        <w:t xml:space="preserve"> at a</w:t>
      </w:r>
      <w:r w:rsidR="00C1680F">
        <w:t>l</w:t>
      </w:r>
      <w:r>
        <w:t>l but one drawn from Greek philosophy.</w:t>
      </w:r>
      <w:r w:rsidR="004A0250" w:rsidRPr="004A0250">
        <w:rPr>
          <w:rStyle w:val="FootnoteReference"/>
          <w:b/>
        </w:rPr>
        <w:footnoteReference w:id="29"/>
      </w:r>
      <w:r w:rsidRPr="004A0250">
        <w:rPr>
          <w:b/>
        </w:rPr>
        <w:t xml:space="preserve"> </w:t>
      </w:r>
      <w:r>
        <w:t>Eusebi</w:t>
      </w:r>
      <w:r w:rsidR="00C1680F">
        <w:t>u</w:t>
      </w:r>
      <w:r>
        <w:t>s a</w:t>
      </w:r>
      <w:r w:rsidR="00C1680F">
        <w:t>r</w:t>
      </w:r>
      <w:r>
        <w:t xml:space="preserve">gued further </w:t>
      </w:r>
      <w:r w:rsidR="00C1680F">
        <w:t>t</w:t>
      </w:r>
      <w:r>
        <w:t xml:space="preserve">hat favoring the </w:t>
      </w:r>
      <w:r w:rsidR="00C1680F" w:rsidRPr="00C1680F">
        <w:rPr>
          <w:i/>
        </w:rPr>
        <w:t>homoousios</w:t>
      </w:r>
      <w:r w:rsidR="00C1680F">
        <w:t xml:space="preserve"> </w:t>
      </w:r>
      <w:r>
        <w:t>would risk comp</w:t>
      </w:r>
      <w:r w:rsidR="00C1680F">
        <w:t>r</w:t>
      </w:r>
      <w:r>
        <w:t>omisi</w:t>
      </w:r>
      <w:r w:rsidR="00C1680F">
        <w:t>n</w:t>
      </w:r>
      <w:r>
        <w:t xml:space="preserve">g the sovereignty of God and his oneness. </w:t>
      </w:r>
    </w:p>
    <w:p w14:paraId="4023119A" w14:textId="77777777" w:rsidR="00544629" w:rsidRDefault="00544629" w:rsidP="00F013EB">
      <w:pPr>
        <w:pStyle w:val="NormalWeb"/>
        <w:spacing w:before="120" w:beforeAutospacing="0" w:after="120" w:afterAutospacing="0" w:line="300" w:lineRule="auto"/>
        <w:ind w:firstLine="720"/>
      </w:pPr>
      <w:r>
        <w:t>Constantine took his stand against the Arians at Nicaea and argued forcefully in fav</w:t>
      </w:r>
      <w:r w:rsidR="0062291B">
        <w:t>o</w:t>
      </w:r>
      <w:r>
        <w:t xml:space="preserve">r of the </w:t>
      </w:r>
      <w:r w:rsidR="0062291B" w:rsidRPr="00C1680F">
        <w:rPr>
          <w:i/>
        </w:rPr>
        <w:t>homoousios</w:t>
      </w:r>
      <w:r>
        <w:t xml:space="preserve">. The creed was adopted almost universally (only four bishops refused to </w:t>
      </w:r>
      <w:r w:rsidR="0062291B">
        <w:t>s</w:t>
      </w:r>
      <w:r>
        <w:t xml:space="preserve">ign it) and with great jubilation. The Jesus of Nazareth Who had begun His </w:t>
      </w:r>
      <w:r w:rsidR="007B114D">
        <w:t xml:space="preserve">Christological </w:t>
      </w:r>
      <w:r>
        <w:t>jou</w:t>
      </w:r>
      <w:r w:rsidR="0062291B">
        <w:t>rn</w:t>
      </w:r>
      <w:r>
        <w:t xml:space="preserve">ey in the mind of the early church as the </w:t>
      </w:r>
      <w:r w:rsidR="002812B2">
        <w:t>“</w:t>
      </w:r>
      <w:r>
        <w:t>suf</w:t>
      </w:r>
      <w:r w:rsidR="002812B2">
        <w:t>fer</w:t>
      </w:r>
      <w:r>
        <w:t>ing servant” messiah</w:t>
      </w:r>
      <w:r w:rsidR="002812B2">
        <w:t>-</w:t>
      </w:r>
      <w:r>
        <w:t>figure of Deute</w:t>
      </w:r>
      <w:r w:rsidR="002812B2">
        <w:t>r</w:t>
      </w:r>
      <w:r>
        <w:t>o-Isai</w:t>
      </w:r>
      <w:r w:rsidR="002812B2">
        <w:t>a</w:t>
      </w:r>
      <w:r>
        <w:t xml:space="preserve">h emerged from Nicaea as a </w:t>
      </w:r>
      <w:r w:rsidR="002812B2">
        <w:t>d</w:t>
      </w:r>
      <w:r>
        <w:t>eif</w:t>
      </w:r>
      <w:r w:rsidR="002812B2">
        <w:t>i</w:t>
      </w:r>
      <w:r>
        <w:t>ed being, c</w:t>
      </w:r>
      <w:r w:rsidR="002812B2">
        <w:t>o</w:t>
      </w:r>
      <w:r>
        <w:t xml:space="preserve">nsubstantial with </w:t>
      </w:r>
      <w:r w:rsidR="002812B2">
        <w:t>God.</w:t>
      </w:r>
      <w:r w:rsidR="004A0250" w:rsidRPr="00824655">
        <w:rPr>
          <w:rStyle w:val="FootnoteReference"/>
          <w:b/>
        </w:rPr>
        <w:footnoteReference w:id="30"/>
      </w:r>
    </w:p>
    <w:p w14:paraId="1C672102" w14:textId="77777777" w:rsidR="00544629" w:rsidRDefault="00544629" w:rsidP="00F013EB">
      <w:pPr>
        <w:pStyle w:val="NormalWeb"/>
        <w:spacing w:before="120" w:beforeAutospacing="0" w:after="120" w:afterAutospacing="0" w:line="300" w:lineRule="auto"/>
        <w:ind w:firstLine="720"/>
      </w:pPr>
      <w:r>
        <w:t>The promulgation of the Nicene C</w:t>
      </w:r>
      <w:r w:rsidR="000E755A">
        <w:t>r</w:t>
      </w:r>
      <w:r>
        <w:t>eed, fa</w:t>
      </w:r>
      <w:r w:rsidR="005F1214">
        <w:t>r</w:t>
      </w:r>
      <w:r>
        <w:t xml:space="preserve"> from bringing the spiritual peace that Constantine had sought, inaugurated a second stage of vitriolic struggle between Nicenes and Arians that was to rage f</w:t>
      </w:r>
      <w:r w:rsidR="000E755A">
        <w:t>o</w:t>
      </w:r>
      <w:r>
        <w:t>r the next half century.</w:t>
      </w:r>
      <w:r w:rsidR="00824655" w:rsidRPr="00824655">
        <w:rPr>
          <w:rStyle w:val="FootnoteReference"/>
          <w:b/>
        </w:rPr>
        <w:footnoteReference w:id="31"/>
      </w:r>
      <w:r>
        <w:t xml:space="preserve"> During this second phase of the contest, the A</w:t>
      </w:r>
      <w:r w:rsidR="000E755A">
        <w:t>r</w:t>
      </w:r>
      <w:r>
        <w:t>ian pa</w:t>
      </w:r>
      <w:r w:rsidR="000E755A">
        <w:t>r</w:t>
      </w:r>
      <w:r>
        <w:t>ty witnessed a momentary victory</w:t>
      </w:r>
      <w:r w:rsidR="000E755A">
        <w:t xml:space="preserve">. By </w:t>
      </w:r>
      <w:r>
        <w:t>a series of skillful diplomatic maneuvers, Aria</w:t>
      </w:r>
      <w:r w:rsidR="000E755A">
        <w:t>n</w:t>
      </w:r>
      <w:r>
        <w:t xml:space="preserve"> bishops were able to win the support of Constantius I, Constantine</w:t>
      </w:r>
      <w:r w:rsidR="000E755A">
        <w:t>’</w:t>
      </w:r>
      <w:r>
        <w:t xml:space="preserve">s son </w:t>
      </w:r>
      <w:r w:rsidRPr="00D30156">
        <w:t>and</w:t>
      </w:r>
      <w:r>
        <w:t xml:space="preserve"> </w:t>
      </w:r>
      <w:r w:rsidR="00D30156">
        <w:t>ruler of the eastern States, who abandoned his father</w:t>
      </w:r>
      <w:r w:rsidR="00AD5379">
        <w:t>’</w:t>
      </w:r>
      <w:r w:rsidR="00D30156">
        <w:t>s policy of standing behind the Nicene Creed.</w:t>
      </w:r>
      <w:r w:rsidR="00031483">
        <w:t xml:space="preserve"> At the Synod of </w:t>
      </w:r>
      <w:r w:rsidR="00031483">
        <w:lastRenderedPageBreak/>
        <w:t>Constantinople in A.D</w:t>
      </w:r>
      <w:r w:rsidR="008E6B99">
        <w:t>.</w:t>
      </w:r>
      <w:r w:rsidR="00031483">
        <w:t xml:space="preserve"> 360, </w:t>
      </w:r>
      <w:r w:rsidRPr="00040FE2">
        <w:t>held during the dedication</w:t>
      </w:r>
      <w:r>
        <w:t xml:space="preserve"> of the Hagia Sophia, the Nicene Creed was abrogated and replaced with an A</w:t>
      </w:r>
      <w:r w:rsidR="009634F2">
        <w:t>ri</w:t>
      </w:r>
      <w:r>
        <w:t xml:space="preserve">an creed, declaring the Son to </w:t>
      </w:r>
      <w:r w:rsidR="009634F2">
        <w:t>be simply “</w:t>
      </w:r>
      <w:r>
        <w:t xml:space="preserve">like the Father, as the Holy Scriptures </w:t>
      </w:r>
      <w:r w:rsidR="009634F2">
        <w:t>ca</w:t>
      </w:r>
      <w:r>
        <w:t>ll Him and teach.</w:t>
      </w:r>
      <w:r w:rsidR="009634F2">
        <w:t>”</w:t>
      </w:r>
      <w:r w:rsidR="00D81EFB">
        <w:t xml:space="preserve"> </w:t>
      </w:r>
      <w:r w:rsidR="00824655" w:rsidRPr="0026228C">
        <w:rPr>
          <w:rStyle w:val="FootnoteReference"/>
          <w:b/>
        </w:rPr>
        <w:footnoteReference w:id="32"/>
      </w:r>
      <w:r>
        <w:t xml:space="preserve"> It seemed that Christend</w:t>
      </w:r>
      <w:r w:rsidR="009634F2">
        <w:t>o</w:t>
      </w:r>
      <w:r>
        <w:t xml:space="preserve">m had gone Arian. </w:t>
      </w:r>
    </w:p>
    <w:p w14:paraId="3B69F7F5" w14:textId="77777777" w:rsidR="00544629" w:rsidRDefault="00544629" w:rsidP="00F013EB">
      <w:pPr>
        <w:pStyle w:val="NormalWeb"/>
        <w:spacing w:before="120" w:beforeAutospacing="0" w:after="120" w:afterAutospacing="0" w:line="300" w:lineRule="auto"/>
        <w:ind w:firstLine="720"/>
      </w:pPr>
      <w:r>
        <w:t>During this second phase of the A</w:t>
      </w:r>
      <w:r w:rsidR="009634F2">
        <w:t>r</w:t>
      </w:r>
      <w:r>
        <w:t>ian c</w:t>
      </w:r>
      <w:r w:rsidR="009634F2">
        <w:t>ontr</w:t>
      </w:r>
      <w:r>
        <w:t>oversy a third fo</w:t>
      </w:r>
      <w:r w:rsidR="009634F2">
        <w:t>r</w:t>
      </w:r>
      <w:r>
        <w:t>c</w:t>
      </w:r>
      <w:r w:rsidR="009634F2">
        <w:t>e</w:t>
      </w:r>
      <w:r>
        <w:t xml:space="preserve"> along </w:t>
      </w:r>
      <w:r w:rsidR="009634F2">
        <w:t>w</w:t>
      </w:r>
      <w:r>
        <w:t>ith the Father and S</w:t>
      </w:r>
      <w:r w:rsidR="009634F2">
        <w:t>o</w:t>
      </w:r>
      <w:r>
        <w:t>n was introduced into the debate. This was the Holy Spirit. The turn of the century was destined to witness not only the destruction of the A</w:t>
      </w:r>
      <w:r w:rsidR="009634F2">
        <w:t>ria</w:t>
      </w:r>
      <w:r>
        <w:t>n party but also the formulation in church council of Ch</w:t>
      </w:r>
      <w:r w:rsidR="009634F2">
        <w:t>r</w:t>
      </w:r>
      <w:r>
        <w:t>istendom</w:t>
      </w:r>
      <w:r w:rsidR="009634F2">
        <w:t>’</w:t>
      </w:r>
      <w:r>
        <w:t>s most central d</w:t>
      </w:r>
      <w:r w:rsidR="009634F2">
        <w:t>oc</w:t>
      </w:r>
      <w:r>
        <w:t xml:space="preserve">trine, the </w:t>
      </w:r>
      <w:r w:rsidR="009634F2" w:rsidRPr="00210F66">
        <w:t>tr</w:t>
      </w:r>
      <w:r w:rsidRPr="00210F66">
        <w:t>inity</w:t>
      </w:r>
      <w:r>
        <w:t xml:space="preserve">. </w:t>
      </w:r>
    </w:p>
    <w:p w14:paraId="6B5A4E9D" w14:textId="77777777" w:rsidR="00544629" w:rsidRDefault="00544629" w:rsidP="00F013EB">
      <w:pPr>
        <w:pStyle w:val="NormalWeb"/>
        <w:spacing w:before="120" w:beforeAutospacing="0" w:after="120" w:afterAutospacing="0" w:line="300" w:lineRule="auto"/>
        <w:ind w:firstLine="720"/>
      </w:pPr>
      <w:r>
        <w:t>The sources for the Christian belief in the Holy Spirit a</w:t>
      </w:r>
      <w:r w:rsidR="00EA7350">
        <w:t>r</w:t>
      </w:r>
      <w:r>
        <w:t>e Judaic</w:t>
      </w:r>
      <w:r w:rsidR="00EA7350">
        <w:t>.</w:t>
      </w:r>
      <w:r>
        <w:t xml:space="preserve"> In the Bible the dynamic spirit </w:t>
      </w:r>
      <w:r w:rsidR="00EA7350">
        <w:t>o</w:t>
      </w:r>
      <w:r>
        <w:t xml:space="preserve">f God (Heb. </w:t>
      </w:r>
      <w:r w:rsidR="00EA7350" w:rsidRPr="00EA7350">
        <w:rPr>
          <w:i/>
        </w:rPr>
        <w:t>ruach</w:t>
      </w:r>
      <w:r>
        <w:t xml:space="preserve"> </w:t>
      </w:r>
      <w:r w:rsidRPr="00EA7350">
        <w:rPr>
          <w:i/>
        </w:rPr>
        <w:t>Yahweh</w:t>
      </w:r>
      <w:r>
        <w:t xml:space="preserve">) was active especially at </w:t>
      </w:r>
      <w:r w:rsidR="00C11308">
        <w:t>c</w:t>
      </w:r>
      <w:r>
        <w:t xml:space="preserve">reation (Gen. 2:7) but was also evident in the mission of the Hebrew prophets </w:t>
      </w:r>
      <w:r w:rsidR="00520C1C">
        <w:t>w</w:t>
      </w:r>
      <w:r>
        <w:t xml:space="preserve">ho </w:t>
      </w:r>
      <w:r w:rsidR="00520C1C">
        <w:t>w</w:t>
      </w:r>
      <w:r>
        <w:t>ere sustained through God</w:t>
      </w:r>
      <w:r w:rsidR="00520C1C">
        <w:t>’</w:t>
      </w:r>
      <w:r>
        <w:t>s sp</w:t>
      </w:r>
      <w:r w:rsidR="00520C1C">
        <w:t>ir</w:t>
      </w:r>
      <w:r>
        <w:t xml:space="preserve">it and spoke through the authority of His Word: “Thus says the </w:t>
      </w:r>
      <w:r w:rsidRPr="00C66116">
        <w:t>Lord</w:t>
      </w:r>
      <w:r>
        <w:t>.</w:t>
      </w:r>
      <w:r w:rsidR="00520C1C">
        <w:t>”</w:t>
      </w:r>
      <w:r>
        <w:t xml:space="preserve"> </w:t>
      </w:r>
    </w:p>
    <w:p w14:paraId="0286CA5C" w14:textId="77777777" w:rsidR="00544629" w:rsidRDefault="00544629" w:rsidP="00F013EB">
      <w:pPr>
        <w:pStyle w:val="NormalWeb"/>
        <w:spacing w:before="120" w:beforeAutospacing="0" w:after="120" w:afterAutospacing="0" w:line="300" w:lineRule="auto"/>
        <w:ind w:firstLine="720"/>
      </w:pPr>
      <w:r>
        <w:t xml:space="preserve">In early Christian literature this understanding was reflected </w:t>
      </w:r>
      <w:r w:rsidR="00780666">
        <w:t>i</w:t>
      </w:r>
      <w:r>
        <w:t>n the writing</w:t>
      </w:r>
      <w:r w:rsidR="00780666">
        <w:t>s</w:t>
      </w:r>
      <w:r>
        <w:t xml:space="preserve"> of the apologist Justin Martyr who referred to the Holy Spirit as the “prophetic spi</w:t>
      </w:r>
      <w:r w:rsidR="00A23A29">
        <w:t>r</w:t>
      </w:r>
      <w:r>
        <w:t>it.</w:t>
      </w:r>
      <w:r w:rsidR="00780666">
        <w:t>”</w:t>
      </w:r>
      <w:r w:rsidR="00A23A29">
        <w:t xml:space="preserve"> </w:t>
      </w:r>
      <w:r w:rsidR="0026228C" w:rsidRPr="0026228C">
        <w:rPr>
          <w:rStyle w:val="FootnoteReference"/>
          <w:b/>
        </w:rPr>
        <w:footnoteReference w:id="33"/>
      </w:r>
      <w:r>
        <w:t xml:space="preserve"> The Fathers, Irenaeus, Bishop of Lyons; Te</w:t>
      </w:r>
      <w:r w:rsidR="00780666">
        <w:t>r</w:t>
      </w:r>
      <w:r>
        <w:t>tullian of Carthage; and O</w:t>
      </w:r>
      <w:r w:rsidR="00780666">
        <w:t>r</w:t>
      </w:r>
      <w:r>
        <w:t>igen of Alexandria had given place in their writings to the H</w:t>
      </w:r>
      <w:r w:rsidR="00780666">
        <w:t>o</w:t>
      </w:r>
      <w:r>
        <w:t xml:space="preserve">ly Spirit in reference to the Godhead. By the fourth century a movement had been gradually building to </w:t>
      </w:r>
      <w:r w:rsidR="00780666">
        <w:t>d</w:t>
      </w:r>
      <w:r>
        <w:t xml:space="preserve">eify the Holy Spirit. The writings </w:t>
      </w:r>
      <w:r w:rsidR="00780666">
        <w:t>o</w:t>
      </w:r>
      <w:r>
        <w:t>f Hilary of Poitier</w:t>
      </w:r>
      <w:r w:rsidR="00780666">
        <w:t>s</w:t>
      </w:r>
      <w:r>
        <w:t xml:space="preserve"> and especially those of the fou</w:t>
      </w:r>
      <w:r w:rsidR="00780666">
        <w:t>r</w:t>
      </w:r>
      <w:r>
        <w:t>th-century Cappadocian fathers, St. Basil the G</w:t>
      </w:r>
      <w:r w:rsidR="00780666">
        <w:t>r</w:t>
      </w:r>
      <w:r>
        <w:t xml:space="preserve">eat, his brother Gregory of Nyssa, and Gregory Nazianzus, were instrumental in winning support for the teaching of a deified Holy Spirit. Augustine, building on a </w:t>
      </w:r>
      <w:r w:rsidR="00693171">
        <w:t>Trinitarian</w:t>
      </w:r>
      <w:r>
        <w:t xml:space="preserve"> tradition four centuries old, gave final expression to the doctrine by writing</w:t>
      </w:r>
      <w:r w:rsidR="00780666">
        <w:t>,</w:t>
      </w:r>
      <w:r>
        <w:t xml:space="preserve"> over a twenty-year period, </w:t>
      </w:r>
      <w:r w:rsidRPr="00780666">
        <w:rPr>
          <w:i/>
        </w:rPr>
        <w:t>De T</w:t>
      </w:r>
      <w:r w:rsidR="00780666" w:rsidRPr="00780666">
        <w:rPr>
          <w:i/>
        </w:rPr>
        <w:t>ri</w:t>
      </w:r>
      <w:r w:rsidRPr="00780666">
        <w:rPr>
          <w:i/>
        </w:rPr>
        <w:t>nitate</w:t>
      </w:r>
      <w:r>
        <w:t>, a work setting forth arguments and analogies to explain the mystery of the trinity.</w:t>
      </w:r>
      <w:r w:rsidR="0026228C" w:rsidRPr="0026228C">
        <w:rPr>
          <w:rStyle w:val="FootnoteReference"/>
          <w:b/>
        </w:rPr>
        <w:footnoteReference w:id="34"/>
      </w:r>
      <w:r>
        <w:t xml:space="preserve"> </w:t>
      </w:r>
    </w:p>
    <w:p w14:paraId="080DDF80" w14:textId="77777777" w:rsidR="00544629" w:rsidRDefault="00544629" w:rsidP="00F013EB">
      <w:pPr>
        <w:pStyle w:val="NormalWeb"/>
        <w:spacing w:before="120" w:beforeAutospacing="0" w:after="120" w:afterAutospacing="0" w:line="300" w:lineRule="auto"/>
        <w:ind w:firstLine="720"/>
      </w:pPr>
      <w:r>
        <w:t>Judaism, however, was rigidly monotheistic. For the t</w:t>
      </w:r>
      <w:r w:rsidR="00DF6EFD">
        <w:t>r</w:t>
      </w:r>
      <w:r>
        <w:t>iune expression at the Godhead one must look to ancient Egypt</w:t>
      </w:r>
      <w:r w:rsidR="00DF6EFD">
        <w:t>.</w:t>
      </w:r>
      <w:r>
        <w:t xml:space="preserve"> From the time of the Old Kingdom (2770—2270 B</w:t>
      </w:r>
      <w:r w:rsidR="00DF6EFD">
        <w:t>.C</w:t>
      </w:r>
      <w:r>
        <w:t xml:space="preserve">.) until Christian times, Osiris, one of the “Ennead” or Nine of the Egyptian pantheon of gods, was worshiped alternatively as three gods and as </w:t>
      </w:r>
      <w:r w:rsidR="00DF6EFD">
        <w:t>one.</w:t>
      </w:r>
      <w:r>
        <w:t xml:space="preserve"> In his t</w:t>
      </w:r>
      <w:r w:rsidR="00DF6EFD">
        <w:t>r</w:t>
      </w:r>
      <w:r>
        <w:t>iune form, Osiris was worshiped as Se</w:t>
      </w:r>
      <w:r w:rsidR="00DF6EFD">
        <w:t>r</w:t>
      </w:r>
      <w:r>
        <w:t xml:space="preserve">apis; Isis, the wife of Osiris; and Horus, their son. In a papyrus dating </w:t>
      </w:r>
      <w:r w:rsidR="00DF6EFD">
        <w:t>fr</w:t>
      </w:r>
      <w:r>
        <w:t xml:space="preserve">om the time of Alexander the Great the </w:t>
      </w:r>
      <w:r w:rsidR="00693171">
        <w:t>Trinitarian</w:t>
      </w:r>
      <w:r>
        <w:t xml:space="preserve"> formula, “Thus from one god I became three gods,</w:t>
      </w:r>
      <w:r w:rsidR="00DF6EFD">
        <w:t>”</w:t>
      </w:r>
      <w:r>
        <w:t xml:space="preserve"> is recorded as Ho</w:t>
      </w:r>
      <w:r w:rsidR="00DF6EFD">
        <w:t>r</w:t>
      </w:r>
      <w:r>
        <w:t>us’ self</w:t>
      </w:r>
      <w:r w:rsidR="00DF6EFD">
        <w:t>-</w:t>
      </w:r>
      <w:r>
        <w:t>desc</w:t>
      </w:r>
      <w:r w:rsidR="00DF6EFD">
        <w:t>r</w:t>
      </w:r>
      <w:r>
        <w:t>iptio</w:t>
      </w:r>
      <w:r w:rsidR="00DF6EFD">
        <w:t>n</w:t>
      </w:r>
      <w:r>
        <w:t>.</w:t>
      </w:r>
      <w:r w:rsidR="0026228C" w:rsidRPr="0026228C">
        <w:rPr>
          <w:rStyle w:val="FootnoteReference"/>
          <w:b/>
        </w:rPr>
        <w:footnoteReference w:id="35"/>
      </w:r>
      <w:r>
        <w:t xml:space="preserve"> Te</w:t>
      </w:r>
      <w:r w:rsidR="00DF6EFD">
        <w:t>rt</w:t>
      </w:r>
      <w:r>
        <w:t>ullian of Carthage, also writing from North Africa, p</w:t>
      </w:r>
      <w:r w:rsidR="00DF6EFD">
        <w:t>r</w:t>
      </w:r>
      <w:r>
        <w:t xml:space="preserve">oduced almost identical wording in his own formulation of the Christian trinity with his </w:t>
      </w:r>
      <w:r>
        <w:lastRenderedPageBreak/>
        <w:t xml:space="preserve">celebrated phrase </w:t>
      </w:r>
      <w:r w:rsidR="00DF6EFD">
        <w:t>“All three are one.”</w:t>
      </w:r>
      <w:r w:rsidR="00A23A29">
        <w:t xml:space="preserve"> </w:t>
      </w:r>
      <w:r w:rsidR="0026228C" w:rsidRPr="0026228C">
        <w:rPr>
          <w:rStyle w:val="FootnoteReference"/>
          <w:b/>
        </w:rPr>
        <w:footnoteReference w:id="36"/>
      </w:r>
      <w:r w:rsidR="0026228C">
        <w:t xml:space="preserve"> </w:t>
      </w:r>
      <w:r>
        <w:t>Coincidentally, the strongest supp</w:t>
      </w:r>
      <w:r w:rsidR="007F7B6C">
        <w:t>or</w:t>
      </w:r>
      <w:r>
        <w:t xml:space="preserve">ters of </w:t>
      </w:r>
      <w:r w:rsidR="00693171">
        <w:t>Trinitarian</w:t>
      </w:r>
      <w:r>
        <w:t xml:space="preserve"> theology, Athan</w:t>
      </w:r>
      <w:r w:rsidR="007F7B6C">
        <w:t>a</w:t>
      </w:r>
      <w:r>
        <w:t>sius and Cyril, were both bishops of Alexandria, the breeding ground of Egyptian tritheism</w:t>
      </w:r>
      <w:r w:rsidR="007F7B6C">
        <w:t>. It is to this “</w:t>
      </w:r>
      <w:r>
        <w:t>Alexandrian cult</w:t>
      </w:r>
      <w:r w:rsidR="007F7B6C">
        <w:t>”</w:t>
      </w:r>
      <w:r>
        <w:t xml:space="preserve"> of the worship of the t</w:t>
      </w:r>
      <w:r w:rsidR="007F7B6C">
        <w:t>r</w:t>
      </w:r>
      <w:r>
        <w:t xml:space="preserve">iune Osiris that Shoghi Effendi </w:t>
      </w:r>
      <w:r w:rsidR="007F7B6C">
        <w:t>r</w:t>
      </w:r>
      <w:r>
        <w:t>efe</w:t>
      </w:r>
      <w:r w:rsidR="007F7B6C">
        <w:t>r</w:t>
      </w:r>
      <w:r>
        <w:t>s in his discussion of those movements that threatened the early church.</w:t>
      </w:r>
      <w:r w:rsidR="0026228C" w:rsidRPr="00966DB2">
        <w:rPr>
          <w:rStyle w:val="FootnoteReference"/>
          <w:b/>
        </w:rPr>
        <w:footnoteReference w:id="37"/>
      </w:r>
    </w:p>
    <w:p w14:paraId="1743EE32" w14:textId="77777777" w:rsidR="00544629" w:rsidRDefault="00544629" w:rsidP="00F013EB">
      <w:pPr>
        <w:pStyle w:val="NormalWeb"/>
        <w:spacing w:before="120" w:beforeAutospacing="0" w:after="120" w:afterAutospacing="0" w:line="300" w:lineRule="auto"/>
        <w:ind w:firstLine="720"/>
      </w:pPr>
      <w:r>
        <w:t>That the doctrine of the trinity itself underwent a historical development is readily apparent</w:t>
      </w:r>
      <w:r w:rsidR="00B460BE">
        <w:t>.</w:t>
      </w:r>
      <w:r>
        <w:t xml:space="preserve"> It was to appear early in the writings of the Chu</w:t>
      </w:r>
      <w:r w:rsidR="00B460BE">
        <w:t>r</w:t>
      </w:r>
      <w:r>
        <w:t>ch Fathers and apologists, but its exegesis was by no means uniform. It was cautiously circumsc</w:t>
      </w:r>
      <w:r w:rsidR="00B05B7D">
        <w:t>r</w:t>
      </w:r>
      <w:r>
        <w:t>ibed in i</w:t>
      </w:r>
      <w:r w:rsidR="00B05B7D">
        <w:t>t</w:t>
      </w:r>
      <w:r>
        <w:t>s early stages by a respect for Jewish monotheism but witnessed the gradual development of three divine and consubstan</w:t>
      </w:r>
      <w:r w:rsidR="00B05B7D">
        <w:t>ti</w:t>
      </w:r>
      <w:r>
        <w:t xml:space="preserve">al persons within the Godhead. Justin Martyr, </w:t>
      </w:r>
      <w:r w:rsidR="00B05B7D">
        <w:t>r</w:t>
      </w:r>
      <w:r>
        <w:t>efe</w:t>
      </w:r>
      <w:r w:rsidR="00B05B7D">
        <w:t>rr</w:t>
      </w:r>
      <w:r>
        <w:t>ed to earlier, formulated a triad of God, the Word, and the Holy Spirit. He w</w:t>
      </w:r>
      <w:r w:rsidR="00B05B7D">
        <w:t>rote of t</w:t>
      </w:r>
      <w:r>
        <w:t>he Word as being “another God</w:t>
      </w:r>
      <w:r w:rsidR="00B05B7D">
        <w:t>”</w:t>
      </w:r>
      <w:r>
        <w:t xml:space="preserve"> beside God.</w:t>
      </w:r>
      <w:r w:rsidR="00E148D9" w:rsidRPr="00E148D9">
        <w:rPr>
          <w:rStyle w:val="FootnoteReference"/>
          <w:b/>
        </w:rPr>
        <w:footnoteReference w:id="38"/>
      </w:r>
      <w:r w:rsidR="00B05B7D">
        <w:t xml:space="preserve"> </w:t>
      </w:r>
      <w:r>
        <w:t>The Logos (Word) in time came to be supe</w:t>
      </w:r>
      <w:r w:rsidR="00B05B7D">
        <w:t>r</w:t>
      </w:r>
      <w:r>
        <w:t xml:space="preserve">seded by the Son. </w:t>
      </w:r>
    </w:p>
    <w:p w14:paraId="2415C395" w14:textId="77777777" w:rsidR="00544629" w:rsidRDefault="00544629" w:rsidP="00F013EB">
      <w:pPr>
        <w:pStyle w:val="NormalWeb"/>
        <w:spacing w:before="120" w:beforeAutospacing="0" w:after="120" w:afterAutospacing="0" w:line="300" w:lineRule="auto"/>
        <w:ind w:firstLine="720"/>
      </w:pPr>
      <w:r>
        <w:t>A contemporary of Justin, Theophi</w:t>
      </w:r>
      <w:r w:rsidR="00700BA8">
        <w:t>l</w:t>
      </w:r>
      <w:r>
        <w:t>us of Antioch</w:t>
      </w:r>
      <w:r w:rsidR="00700BA8">
        <w:t>,</w:t>
      </w:r>
      <w:r>
        <w:t xml:space="preserve"> was the fi</w:t>
      </w:r>
      <w:r w:rsidR="00700BA8">
        <w:t>rst to use the wo</w:t>
      </w:r>
      <w:r w:rsidR="0043255B">
        <w:t>r</w:t>
      </w:r>
      <w:r w:rsidR="00700BA8">
        <w:t>d “</w:t>
      </w:r>
      <w:r>
        <w:t>triad</w:t>
      </w:r>
      <w:r w:rsidR="00700BA8">
        <w:t>”</w:t>
      </w:r>
      <w:r>
        <w:t xml:space="preserve"> in his w</w:t>
      </w:r>
      <w:r w:rsidR="00700BA8">
        <w:t>r</w:t>
      </w:r>
      <w:r>
        <w:t xml:space="preserve">itings in relationship to </w:t>
      </w:r>
      <w:r w:rsidR="00700BA8">
        <w:t>t</w:t>
      </w:r>
      <w:r>
        <w:t>he Godhead. The</w:t>
      </w:r>
      <w:r w:rsidR="00700BA8">
        <w:t>o</w:t>
      </w:r>
      <w:r>
        <w:t>philus’ t</w:t>
      </w:r>
      <w:r w:rsidR="00700BA8">
        <w:t>r</w:t>
      </w:r>
      <w:r>
        <w:t>iad had a novel twist in that the Holy Spirit was replaced by Wisdom, to consist of Father, Son, and Wisdom</w:t>
      </w:r>
      <w:r w:rsidR="00700BA8">
        <w:t>.</w:t>
      </w:r>
      <w:r w:rsidR="005C5F9E" w:rsidRPr="005C5F9E">
        <w:rPr>
          <w:rStyle w:val="FootnoteReference"/>
          <w:b/>
        </w:rPr>
        <w:footnoteReference w:id="39"/>
      </w:r>
      <w:r>
        <w:t xml:space="preserve"> Irenaeus, Bishop of Lyons, reaffirmed the triune Father, Son, and Holy Spi</w:t>
      </w:r>
      <w:r w:rsidR="00700BA8">
        <w:t>r</w:t>
      </w:r>
      <w:r>
        <w:t>it, teaching that the Son (Wor</w:t>
      </w:r>
      <w:r w:rsidR="00700BA8">
        <w:t>d</w:t>
      </w:r>
      <w:r>
        <w:t xml:space="preserve">) was in eternal generation </w:t>
      </w:r>
      <w:r w:rsidRPr="00A23A29">
        <w:t>and was</w:t>
      </w:r>
      <w:r>
        <w:t>, the</w:t>
      </w:r>
      <w:r w:rsidR="00700BA8">
        <w:t>refor</w:t>
      </w:r>
      <w:r>
        <w:t>e, coexistent with the Father. Since He sha</w:t>
      </w:r>
      <w:r w:rsidR="00700BA8">
        <w:t>r</w:t>
      </w:r>
      <w:r>
        <w:t>ed God’s ete</w:t>
      </w:r>
      <w:r w:rsidR="00700BA8">
        <w:t>rnit</w:t>
      </w:r>
      <w:r>
        <w:t>y, Irenaeus arg</w:t>
      </w:r>
      <w:r w:rsidR="00700BA8">
        <w:t>ued that the Son was also God: “The Father is Go</w:t>
      </w:r>
      <w:r>
        <w:t xml:space="preserve">d and the Son is God, for whatsoever is </w:t>
      </w:r>
      <w:r w:rsidR="00700BA8">
        <w:t>b</w:t>
      </w:r>
      <w:r>
        <w:t>egotten by God is Go</w:t>
      </w:r>
      <w:r w:rsidR="00700BA8">
        <w:t>d.”</w:t>
      </w:r>
      <w:r>
        <w:t xml:space="preserve"> </w:t>
      </w:r>
      <w:r w:rsidR="007A0D26" w:rsidRPr="007A0D26">
        <w:rPr>
          <w:rStyle w:val="FootnoteReference"/>
          <w:b/>
        </w:rPr>
        <w:footnoteReference w:id="40"/>
      </w:r>
      <w:r w:rsidR="00700BA8">
        <w:t xml:space="preserve"> </w:t>
      </w:r>
      <w:r>
        <w:t xml:space="preserve">Hippolytus of Rome first used the word </w:t>
      </w:r>
      <w:r w:rsidRPr="00700BA8">
        <w:rPr>
          <w:i/>
        </w:rPr>
        <w:t>p</w:t>
      </w:r>
      <w:r w:rsidR="00700BA8" w:rsidRPr="00700BA8">
        <w:rPr>
          <w:i/>
        </w:rPr>
        <w:t>ersona</w:t>
      </w:r>
      <w:r>
        <w:t xml:space="preserve"> (Latin f</w:t>
      </w:r>
      <w:r w:rsidR="00700BA8">
        <w:t>or</w:t>
      </w:r>
      <w:r>
        <w:t xml:space="preserve"> ‘mask,’ as used in Greco</w:t>
      </w:r>
      <w:r w:rsidR="00700BA8">
        <w:t>-</w:t>
      </w:r>
      <w:r>
        <w:t>Roman theate</w:t>
      </w:r>
      <w:r w:rsidR="00700BA8">
        <w:t>r; hence ‘</w:t>
      </w:r>
      <w:r>
        <w:t>appearance, manifestation, aspect</w:t>
      </w:r>
      <w:r w:rsidR="00700BA8">
        <w:t>’</w:t>
      </w:r>
      <w:r>
        <w:t>) in relation to the th</w:t>
      </w:r>
      <w:r w:rsidR="00700BA8">
        <w:t>r</w:t>
      </w:r>
      <w:r>
        <w:t>ee aspe</w:t>
      </w:r>
      <w:r w:rsidR="00700BA8">
        <w:t>cts</w:t>
      </w:r>
      <w:r>
        <w:t xml:space="preserve"> of the Godhead and taught that, although single, God was multiple in respe</w:t>
      </w:r>
      <w:r w:rsidR="00700BA8">
        <w:t>c</w:t>
      </w:r>
      <w:r>
        <w:t>t to His fou</w:t>
      </w:r>
      <w:r w:rsidR="00700BA8">
        <w:t>r</w:t>
      </w:r>
      <w:r>
        <w:t>f</w:t>
      </w:r>
      <w:r w:rsidR="00700BA8">
        <w:t>o</w:t>
      </w:r>
      <w:r>
        <w:t>ld attributes of Word, Wisdom, Power, and C</w:t>
      </w:r>
      <w:r w:rsidR="00700BA8">
        <w:t>ouns</w:t>
      </w:r>
      <w:r>
        <w:t>el.</w:t>
      </w:r>
      <w:r w:rsidR="007A0D26" w:rsidRPr="007A0D26">
        <w:rPr>
          <w:rStyle w:val="FootnoteReference"/>
          <w:b/>
        </w:rPr>
        <w:footnoteReference w:id="41"/>
      </w:r>
      <w:r w:rsidR="00700BA8">
        <w:t xml:space="preserve"> </w:t>
      </w:r>
      <w:r>
        <w:t>Te</w:t>
      </w:r>
      <w:r w:rsidR="00700BA8">
        <w:t>r</w:t>
      </w:r>
      <w:r>
        <w:t>tullian</w:t>
      </w:r>
      <w:r w:rsidR="00700BA8">
        <w:t xml:space="preserve"> of Carthage coined the famous “</w:t>
      </w:r>
      <w:r>
        <w:t>three in one” formula refe</w:t>
      </w:r>
      <w:r w:rsidR="00700BA8">
        <w:t>rr</w:t>
      </w:r>
      <w:r>
        <w:t>ed to above and was also the fi</w:t>
      </w:r>
      <w:r w:rsidR="00700BA8">
        <w:t>r</w:t>
      </w:r>
      <w:r>
        <w:t>st t</w:t>
      </w:r>
      <w:r w:rsidR="00700BA8">
        <w:t>o</w:t>
      </w:r>
      <w:r>
        <w:t xml:space="preserve"> use the word </w:t>
      </w:r>
      <w:r w:rsidR="00700BA8" w:rsidRPr="00700BA8">
        <w:rPr>
          <w:i/>
        </w:rPr>
        <w:t>trinitas</w:t>
      </w:r>
      <w:r>
        <w:t xml:space="preserve"> in his writings, thereby giving impetus to the independent subsistence of the th</w:t>
      </w:r>
      <w:r w:rsidR="00163AA5">
        <w:t>r</w:t>
      </w:r>
      <w:r>
        <w:t>ee divine persons</w:t>
      </w:r>
      <w:r w:rsidR="00163AA5">
        <w:t>.</w:t>
      </w:r>
      <w:r w:rsidR="008E63C0">
        <w:t xml:space="preserve"> </w:t>
      </w:r>
      <w:r w:rsidR="008E63C0">
        <w:rPr>
          <w:rStyle w:val="FootnoteReference"/>
          <w:b/>
        </w:rPr>
        <w:footnoteReference w:id="42"/>
      </w:r>
      <w:r w:rsidRPr="00163AA5">
        <w:rPr>
          <w:b/>
          <w:vertAlign w:val="superscript"/>
        </w:rPr>
        <w:t xml:space="preserve"> </w:t>
      </w:r>
    </w:p>
    <w:p w14:paraId="71FCE409" w14:textId="77777777" w:rsidR="001F2FF3" w:rsidRDefault="00544629" w:rsidP="00F013EB">
      <w:pPr>
        <w:pStyle w:val="NormalWeb"/>
        <w:spacing w:before="120" w:beforeAutospacing="0" w:after="120" w:afterAutospacing="0" w:line="300" w:lineRule="auto"/>
        <w:ind w:firstLine="720"/>
      </w:pPr>
      <w:r>
        <w:t>The writings of Irenaeus, Hippolytus, and Tertu</w:t>
      </w:r>
      <w:r w:rsidR="00163AA5">
        <w:t>l</w:t>
      </w:r>
      <w:r>
        <w:t xml:space="preserve">lian constitute a watershed in the development of </w:t>
      </w:r>
      <w:r w:rsidR="00163AA5">
        <w:t>t</w:t>
      </w:r>
      <w:r>
        <w:t>he trinity. It is in their w</w:t>
      </w:r>
      <w:r w:rsidR="00163AA5">
        <w:t>r</w:t>
      </w:r>
      <w:r>
        <w:t xml:space="preserve">itings that the first tensions appear between the unity of the divine monarchia and the independent subsistence of the three persons. Overall, however, </w:t>
      </w:r>
      <w:r>
        <w:lastRenderedPageBreak/>
        <w:t xml:space="preserve">the ascendancy was given to </w:t>
      </w:r>
      <w:r w:rsidR="00163AA5">
        <w:t>t</w:t>
      </w:r>
      <w:r>
        <w:t xml:space="preserve">he Divine Unity </w:t>
      </w:r>
      <w:r w:rsidR="00163AA5">
        <w:t>with the three persons being “</w:t>
      </w:r>
      <w:r>
        <w:t>manifestations” (La</w:t>
      </w:r>
      <w:r w:rsidR="00163AA5">
        <w:t>t.</w:t>
      </w:r>
      <w:r>
        <w:t xml:space="preserve"> </w:t>
      </w:r>
      <w:r w:rsidR="00163AA5" w:rsidRPr="00163AA5">
        <w:rPr>
          <w:i/>
        </w:rPr>
        <w:t>species</w:t>
      </w:r>
      <w:r w:rsidR="00163AA5">
        <w:t>) or “</w:t>
      </w:r>
      <w:r>
        <w:t>aspects</w:t>
      </w:r>
      <w:r w:rsidR="00163AA5">
        <w:t xml:space="preserve">” (Lat. </w:t>
      </w:r>
      <w:r w:rsidR="00163AA5" w:rsidRPr="00163AA5">
        <w:rPr>
          <w:i/>
        </w:rPr>
        <w:t>formae</w:t>
      </w:r>
      <w:r>
        <w:t>) of the Godhead</w:t>
      </w:r>
      <w:r w:rsidR="00163AA5">
        <w:t>,</w:t>
      </w:r>
      <w:r>
        <w:t xml:space="preserve"> a theology c</w:t>
      </w:r>
      <w:r w:rsidR="00163AA5">
        <w:t>alled “</w:t>
      </w:r>
      <w:r>
        <w:t>ec</w:t>
      </w:r>
      <w:r w:rsidR="00163AA5">
        <w:t>o</w:t>
      </w:r>
      <w:r>
        <w:t xml:space="preserve">nomic </w:t>
      </w:r>
      <w:r w:rsidR="00693171">
        <w:t>Trinitarian</w:t>
      </w:r>
      <w:r>
        <w:t>ism.</w:t>
      </w:r>
      <w:r w:rsidR="00163AA5">
        <w:t>”</w:t>
      </w:r>
      <w:r>
        <w:t xml:space="preserve"> because it wished to st</w:t>
      </w:r>
      <w:r w:rsidR="00163AA5">
        <w:t>r</w:t>
      </w:r>
      <w:r>
        <w:t xml:space="preserve">ess </w:t>
      </w:r>
      <w:r w:rsidR="00163AA5">
        <w:t>th</w:t>
      </w:r>
      <w:r>
        <w:t>e paucity of the th</w:t>
      </w:r>
      <w:r w:rsidR="00163AA5">
        <w:t>r</w:t>
      </w:r>
      <w:r>
        <w:t xml:space="preserve">ee persons compared with the </w:t>
      </w:r>
      <w:r w:rsidRPr="00163AA5">
        <w:rPr>
          <w:i/>
        </w:rPr>
        <w:t>monarch</w:t>
      </w:r>
      <w:r w:rsidR="00163AA5" w:rsidRPr="00163AA5">
        <w:rPr>
          <w:i/>
        </w:rPr>
        <w:t>ia</w:t>
      </w:r>
      <w:r w:rsidRPr="00163AA5">
        <w:rPr>
          <w:i/>
        </w:rPr>
        <w:t xml:space="preserve"> </w:t>
      </w:r>
      <w:r>
        <w:t>‘Divine Unity.</w:t>
      </w:r>
      <w:r w:rsidR="00163AA5">
        <w:t>’</w:t>
      </w:r>
      <w:r w:rsidR="008E63C0">
        <w:t xml:space="preserve"> </w:t>
      </w:r>
      <w:r w:rsidR="008E63C0" w:rsidRPr="008E63C0">
        <w:rPr>
          <w:rStyle w:val="FootnoteReference"/>
          <w:b/>
        </w:rPr>
        <w:footnoteReference w:id="43"/>
      </w:r>
      <w:r>
        <w:t xml:space="preserve"> The major contribution </w:t>
      </w:r>
      <w:r w:rsidR="009B6858">
        <w:t>of this theology w</w:t>
      </w:r>
      <w:r w:rsidR="001F2FF3">
        <w:t>as its vocabulary</w:t>
      </w:r>
      <w:r w:rsidR="009B6858">
        <w:t>.</w:t>
      </w:r>
      <w:r w:rsidR="001F2FF3">
        <w:t xml:space="preserve"> The words </w:t>
      </w:r>
      <w:r w:rsidR="001F2FF3" w:rsidRPr="009B6858">
        <w:rPr>
          <w:i/>
        </w:rPr>
        <w:t>per</w:t>
      </w:r>
      <w:r w:rsidR="009B6858" w:rsidRPr="009B6858">
        <w:rPr>
          <w:i/>
        </w:rPr>
        <w:t>sona</w:t>
      </w:r>
      <w:r w:rsidR="001F2FF3">
        <w:t xml:space="preserve"> and </w:t>
      </w:r>
      <w:r w:rsidR="009B6858" w:rsidRPr="009B6858">
        <w:rPr>
          <w:i/>
        </w:rPr>
        <w:t>trinitas</w:t>
      </w:r>
      <w:r w:rsidR="009B6858">
        <w:t xml:space="preserve"> became s</w:t>
      </w:r>
      <w:r w:rsidR="001F2FF3">
        <w:t xml:space="preserve">tandard for future discussions and took on meanings that were not originally intended by their authors. </w:t>
      </w:r>
    </w:p>
    <w:p w14:paraId="0DC5189C" w14:textId="77777777" w:rsidR="00544629" w:rsidRDefault="00544629" w:rsidP="00F013EB">
      <w:pPr>
        <w:pStyle w:val="NormalWeb"/>
        <w:spacing w:before="120" w:beforeAutospacing="0" w:after="120" w:afterAutospacing="0" w:line="300" w:lineRule="auto"/>
        <w:ind w:firstLine="720"/>
      </w:pPr>
      <w:r>
        <w:t>This second phase of the A</w:t>
      </w:r>
      <w:r w:rsidR="003708F7">
        <w:t>r</w:t>
      </w:r>
      <w:r>
        <w:t xml:space="preserve">ian crisis, complicated by disputes over emerging </w:t>
      </w:r>
      <w:r w:rsidR="00693171">
        <w:t>Trinitarian</w:t>
      </w:r>
      <w:r>
        <w:t xml:space="preserve"> theology, necessitated the second ecumenical council of the church, held at Constantinople in A</w:t>
      </w:r>
      <w:r w:rsidR="003708F7">
        <w:t>.D.</w:t>
      </w:r>
      <w:r>
        <w:t xml:space="preserve"> 381. It was presided ove</w:t>
      </w:r>
      <w:r w:rsidR="003708F7">
        <w:t>r</w:t>
      </w:r>
      <w:r>
        <w:t xml:space="preserve"> by Emperor Theodosius I, a solid supporter of the Nicene C</w:t>
      </w:r>
      <w:r w:rsidR="003708F7">
        <w:t>r</w:t>
      </w:r>
      <w:r>
        <w:t>eed</w:t>
      </w:r>
      <w:r w:rsidR="003708F7">
        <w:t>.</w:t>
      </w:r>
      <w:r>
        <w:t xml:space="preserve"> At Constantinople </w:t>
      </w:r>
      <w:r w:rsidR="00693171">
        <w:t>Trinitarian</w:t>
      </w:r>
      <w:r>
        <w:t xml:space="preserve"> theology was formally can</w:t>
      </w:r>
      <w:r w:rsidR="003708F7">
        <w:t>oniz</w:t>
      </w:r>
      <w:r>
        <w:t>ed. It was laid down that God, Christ, and the Holy Spirit a</w:t>
      </w:r>
      <w:r w:rsidR="00E57D72">
        <w:t>r</w:t>
      </w:r>
      <w:r>
        <w:t xml:space="preserve">e all of the same substance but manifest themselves in three divine </w:t>
      </w:r>
      <w:r w:rsidRPr="00CD5251">
        <w:t>persons</w:t>
      </w:r>
      <w:r>
        <w:t>.</w:t>
      </w:r>
      <w:r w:rsidR="00E57D72">
        <w:t xml:space="preserve"> </w:t>
      </w:r>
      <w:r w:rsidR="008E63C0" w:rsidRPr="008E63C0">
        <w:rPr>
          <w:rStyle w:val="FootnoteReference"/>
          <w:b/>
        </w:rPr>
        <w:footnoteReference w:id="44"/>
      </w:r>
    </w:p>
    <w:p w14:paraId="5D4DC0C2" w14:textId="77777777" w:rsidR="00544629" w:rsidRDefault="00544629" w:rsidP="00F013EB">
      <w:pPr>
        <w:pStyle w:val="NormalWeb"/>
        <w:spacing w:before="120" w:beforeAutospacing="0" w:after="120" w:afterAutospacing="0" w:line="300" w:lineRule="auto"/>
        <w:ind w:firstLine="720"/>
      </w:pPr>
      <w:r>
        <w:t>Following the Council of Constantinople, the A</w:t>
      </w:r>
      <w:r w:rsidR="00444B50">
        <w:t>rian</w:t>
      </w:r>
      <w:r>
        <w:t xml:space="preserve"> pa</w:t>
      </w:r>
      <w:r w:rsidR="00444B50">
        <w:t>rt</w:t>
      </w:r>
      <w:r>
        <w:t>y, now divided into contending sects, collapsed with astonishing speed. As for Arius, fate was to dec</w:t>
      </w:r>
      <w:r w:rsidR="00B01B3B">
        <w:t>r</w:t>
      </w:r>
      <w:r>
        <w:t>ee that he would not live to see the momentary victory of his party</w:t>
      </w:r>
      <w:r w:rsidR="00B01B3B">
        <w:t>.</w:t>
      </w:r>
      <w:r>
        <w:t xml:space="preserve"> He died quite suddenly, in misery and obscurity, in the st</w:t>
      </w:r>
      <w:r w:rsidR="00B01B3B">
        <w:t>r</w:t>
      </w:r>
      <w:r>
        <w:t>eet</w:t>
      </w:r>
      <w:r w:rsidR="00B01B3B">
        <w:t>s</w:t>
      </w:r>
      <w:r>
        <w:t xml:space="preserve"> of Constantinople, possibly a victim of poisoning, having been discarded by his own party who had gone on </w:t>
      </w:r>
      <w:r w:rsidR="00B01B3B">
        <w:t>to</w:t>
      </w:r>
      <w:r>
        <w:t xml:space="preserve"> quarrel with </w:t>
      </w:r>
      <w:r w:rsidR="00B01B3B">
        <w:t>t</w:t>
      </w:r>
      <w:r>
        <w:t xml:space="preserve">he Nicenes: </w:t>
      </w:r>
    </w:p>
    <w:p w14:paraId="0AE8B323" w14:textId="77777777" w:rsidR="00B01B3B" w:rsidRDefault="00544629" w:rsidP="00F013EB">
      <w:pPr>
        <w:pStyle w:val="NormalWeb"/>
        <w:spacing w:before="120" w:beforeAutospacing="0" w:after="120" w:afterAutospacing="0" w:line="300" w:lineRule="auto"/>
        <w:ind w:firstLine="720"/>
      </w:pPr>
      <w:r>
        <w:t>He had been left out in the cold, almost forgotten</w:t>
      </w:r>
      <w:r w:rsidR="0013303B">
        <w:t>.</w:t>
      </w:r>
      <w:r>
        <w:t xml:space="preserve"> </w:t>
      </w:r>
      <w:r w:rsidR="0013303B">
        <w:t>A</w:t>
      </w:r>
      <w:r>
        <w:t xml:space="preserve">t length, sick and old, he had pleaded with </w:t>
      </w:r>
    </w:p>
    <w:p w14:paraId="1C2D0555" w14:textId="77777777" w:rsidR="00B01B3B" w:rsidRDefault="00544629" w:rsidP="00F013EB">
      <w:pPr>
        <w:pStyle w:val="NormalWeb"/>
        <w:spacing w:before="120" w:beforeAutospacing="0" w:after="120" w:afterAutospacing="0" w:line="300" w:lineRule="auto"/>
        <w:ind w:firstLine="720"/>
      </w:pPr>
      <w:r>
        <w:t>Cons</w:t>
      </w:r>
      <w:r w:rsidR="00B01B3B">
        <w:t>ta</w:t>
      </w:r>
      <w:r>
        <w:t xml:space="preserve">ntine to allow him the benefits of the sacraments before he died, sadly complaining that </w:t>
      </w:r>
    </w:p>
    <w:p w14:paraId="06324987" w14:textId="77777777" w:rsidR="00B01B3B" w:rsidRDefault="00544629" w:rsidP="00F013EB">
      <w:pPr>
        <w:pStyle w:val="NormalWeb"/>
        <w:spacing w:before="120" w:beforeAutospacing="0" w:after="120" w:afterAutospacing="0" w:line="300" w:lineRule="auto"/>
        <w:ind w:firstLine="720"/>
      </w:pPr>
      <w:r>
        <w:t xml:space="preserve">his powerful friends like Eusebius </w:t>
      </w:r>
      <w:r w:rsidR="00B01B3B">
        <w:t>o</w:t>
      </w:r>
      <w:r>
        <w:t>f Nicome</w:t>
      </w:r>
      <w:r w:rsidR="00B01B3B">
        <w:t>d</w:t>
      </w:r>
      <w:r>
        <w:t xml:space="preserve">ia could </w:t>
      </w:r>
      <w:r w:rsidR="00B01B3B">
        <w:t>no</w:t>
      </w:r>
      <w:r>
        <w:t xml:space="preserve"> longer be bothered to do anything for </w:t>
      </w:r>
    </w:p>
    <w:p w14:paraId="523B63A2" w14:textId="77777777" w:rsidR="00B01B3B" w:rsidRDefault="00544629" w:rsidP="00F013EB">
      <w:pPr>
        <w:pStyle w:val="NormalWeb"/>
        <w:spacing w:before="120" w:beforeAutospacing="0" w:after="120" w:afterAutospacing="0" w:line="300" w:lineRule="auto"/>
        <w:ind w:firstLine="720"/>
      </w:pPr>
      <w:r>
        <w:t>him</w:t>
      </w:r>
      <w:r w:rsidR="00B01B3B">
        <w:t>.</w:t>
      </w:r>
      <w:r w:rsidR="00B964D0">
        <w:t xml:space="preserve"> </w:t>
      </w:r>
      <w:r w:rsidR="00B964D0" w:rsidRPr="00B964D0">
        <w:rPr>
          <w:rStyle w:val="FootnoteReference"/>
          <w:b/>
        </w:rPr>
        <w:footnoteReference w:id="45"/>
      </w:r>
      <w:r w:rsidRPr="00B964D0">
        <w:rPr>
          <w:b/>
        </w:rPr>
        <w:t xml:space="preserve"> </w:t>
      </w:r>
    </w:p>
    <w:p w14:paraId="4B6A2268" w14:textId="77777777" w:rsidR="00B01B3B" w:rsidRDefault="00544629" w:rsidP="00F013EB">
      <w:pPr>
        <w:pStyle w:val="NormalWeb"/>
        <w:spacing w:before="120" w:beforeAutospacing="0" w:after="120" w:afterAutospacing="0" w:line="300" w:lineRule="auto"/>
      </w:pPr>
      <w:r>
        <w:t xml:space="preserve">To the circumstances of Arius’ unhappy ending an ominous </w:t>
      </w:r>
      <w:r w:rsidR="00B01B3B">
        <w:t>r</w:t>
      </w:r>
      <w:r>
        <w:t xml:space="preserve">ing is lent </w:t>
      </w:r>
      <w:r w:rsidR="00B01B3B">
        <w:t>b</w:t>
      </w:r>
      <w:r>
        <w:t>y the following comment of ‘Abdu’l-Bahá that serves as warning to those who divide the religion of God f</w:t>
      </w:r>
      <w:r w:rsidR="00B01B3B">
        <w:t>o</w:t>
      </w:r>
      <w:r>
        <w:t xml:space="preserve">r </w:t>
      </w:r>
      <w:r>
        <w:lastRenderedPageBreak/>
        <w:t>personal gain, regardless of their theologies: “But eventually the power of Christ exterminated and utterly destroyed them all to the e</w:t>
      </w:r>
      <w:r w:rsidR="00312E6D">
        <w:t>xtent</w:t>
      </w:r>
      <w:r>
        <w:t xml:space="preserve"> that no trace (of them) has been left</w:t>
      </w:r>
      <w:r w:rsidR="00B01B3B">
        <w:t xml:space="preserve">.” </w:t>
      </w:r>
      <w:r w:rsidR="0043211C" w:rsidRPr="00C751CC">
        <w:rPr>
          <w:rStyle w:val="FootnoteReference"/>
          <w:b/>
        </w:rPr>
        <w:footnoteReference w:id="46"/>
      </w:r>
      <w:r>
        <w:t xml:space="preserve"> </w:t>
      </w:r>
    </w:p>
    <w:p w14:paraId="41B6C07B" w14:textId="77777777" w:rsidR="00C751CC" w:rsidRDefault="00C751CC" w:rsidP="00F013EB">
      <w:pPr>
        <w:pStyle w:val="NormalWeb"/>
        <w:spacing w:before="120" w:beforeAutospacing="0" w:after="120" w:afterAutospacing="0" w:line="300" w:lineRule="auto"/>
        <w:rPr>
          <w:i/>
        </w:rPr>
      </w:pPr>
    </w:p>
    <w:p w14:paraId="1B02FA37" w14:textId="77777777" w:rsidR="00544629" w:rsidRDefault="00544629" w:rsidP="00F013EB">
      <w:pPr>
        <w:pStyle w:val="NormalWeb"/>
        <w:spacing w:before="120" w:beforeAutospacing="0" w:after="120" w:afterAutospacing="0" w:line="300" w:lineRule="auto"/>
      </w:pPr>
      <w:r w:rsidRPr="00B01B3B">
        <w:rPr>
          <w:i/>
        </w:rPr>
        <w:t>The God-Ma</w:t>
      </w:r>
      <w:r w:rsidR="00B01B3B" w:rsidRPr="00B01B3B">
        <w:rPr>
          <w:i/>
        </w:rPr>
        <w:t>n</w:t>
      </w:r>
      <w:r w:rsidRPr="00B01B3B">
        <w:rPr>
          <w:i/>
        </w:rPr>
        <w:t xml:space="preserve"> D</w:t>
      </w:r>
      <w:r w:rsidR="00B01B3B" w:rsidRPr="00B01B3B">
        <w:rPr>
          <w:i/>
        </w:rPr>
        <w:t>e</w:t>
      </w:r>
      <w:r w:rsidRPr="00B01B3B">
        <w:rPr>
          <w:i/>
        </w:rPr>
        <w:t xml:space="preserve">bate—Cyril </w:t>
      </w:r>
      <w:r w:rsidR="00481875">
        <w:rPr>
          <w:i/>
        </w:rPr>
        <w:t>an</w:t>
      </w:r>
      <w:r w:rsidRPr="00B01B3B">
        <w:rPr>
          <w:i/>
        </w:rPr>
        <w:t>d Ne</w:t>
      </w:r>
      <w:r w:rsidR="00B01B3B" w:rsidRPr="00B01B3B">
        <w:rPr>
          <w:i/>
        </w:rPr>
        <w:t>s</w:t>
      </w:r>
      <w:r w:rsidRPr="00B01B3B">
        <w:rPr>
          <w:i/>
        </w:rPr>
        <w:t>tori</w:t>
      </w:r>
      <w:r w:rsidR="00B01B3B" w:rsidRPr="00B01B3B">
        <w:rPr>
          <w:i/>
        </w:rPr>
        <w:t>us.</w:t>
      </w:r>
      <w:r>
        <w:t xml:space="preserve"> Like the hydra </w:t>
      </w:r>
      <w:r w:rsidR="00B01B3B">
        <w:t>o</w:t>
      </w:r>
      <w:r>
        <w:t xml:space="preserve">f Greek mythology that grew </w:t>
      </w:r>
      <w:r w:rsidR="00B01B3B">
        <w:t>a</w:t>
      </w:r>
      <w:r>
        <w:t xml:space="preserve"> new head for each </w:t>
      </w:r>
      <w:r w:rsidR="00B01B3B">
        <w:t>o</w:t>
      </w:r>
      <w:r>
        <w:t>f its severed ones, the councils of Nicaea a</w:t>
      </w:r>
      <w:r w:rsidR="00B01B3B">
        <w:t>nd</w:t>
      </w:r>
      <w:r>
        <w:t xml:space="preserve"> C</w:t>
      </w:r>
      <w:r w:rsidR="00B01B3B">
        <w:t>onstantinople</w:t>
      </w:r>
      <w:r>
        <w:t xml:space="preserve"> generated rather than silenced further controversy about the pe</w:t>
      </w:r>
      <w:r w:rsidR="002F4E67">
        <w:t>r</w:t>
      </w:r>
      <w:r>
        <w:t>so</w:t>
      </w:r>
      <w:r w:rsidR="002F4E67">
        <w:t xml:space="preserve">n </w:t>
      </w:r>
      <w:r>
        <w:t xml:space="preserve">of Jesus. Scarcely had the canonization of </w:t>
      </w:r>
      <w:r w:rsidR="00693171">
        <w:t>Trinitarian</w:t>
      </w:r>
      <w:r>
        <w:t xml:space="preserve"> theology taken place at the council of Constantinople when </w:t>
      </w:r>
      <w:r w:rsidR="00A71CE0">
        <w:t>a</w:t>
      </w:r>
      <w:r>
        <w:t xml:space="preserve"> new issue in the </w:t>
      </w:r>
      <w:r w:rsidR="004F4E34">
        <w:t xml:space="preserve">Christological </w:t>
      </w:r>
      <w:r>
        <w:t>debate plunged the church deeper into dissension</w:t>
      </w:r>
      <w:r w:rsidR="00A71CE0">
        <w:t>.</w:t>
      </w:r>
      <w:r>
        <w:t xml:space="preserve"> This was the relationship between the divine and human natures of Jesus. </w:t>
      </w:r>
    </w:p>
    <w:p w14:paraId="5C45C70D" w14:textId="77777777" w:rsidR="00544629" w:rsidRDefault="00544629" w:rsidP="00F013EB">
      <w:pPr>
        <w:pStyle w:val="NormalWeb"/>
        <w:spacing w:before="120" w:beforeAutospacing="0" w:after="120" w:afterAutospacing="0" w:line="300" w:lineRule="auto"/>
        <w:ind w:firstLine="720"/>
      </w:pPr>
      <w:r w:rsidRPr="003F63B3">
        <w:t xml:space="preserve">Not </w:t>
      </w:r>
      <w:r w:rsidR="00A71CE0" w:rsidRPr="003F63B3">
        <w:t>only</w:t>
      </w:r>
      <w:r w:rsidR="00A71CE0">
        <w:t xml:space="preserve"> did this new phase of the </w:t>
      </w:r>
      <w:r w:rsidR="009B6F20">
        <w:t xml:space="preserve">Christological </w:t>
      </w:r>
      <w:r>
        <w:t>battle prove to be by fa</w:t>
      </w:r>
      <w:r w:rsidR="00A71CE0">
        <w:t>r</w:t>
      </w:r>
      <w:r>
        <w:t xml:space="preserve"> the most bloody, but it also had fatal consequences for the unity of the Byzantine </w:t>
      </w:r>
      <w:r w:rsidR="00322F4F">
        <w:t>Empire</w:t>
      </w:r>
      <w:r w:rsidR="00A71CE0">
        <w:t>. A new and divisive force was added to</w:t>
      </w:r>
      <w:r>
        <w:t xml:space="preserve"> the dimensions of the theological quar</w:t>
      </w:r>
      <w:r w:rsidR="00A71CE0">
        <w:t>r</w:t>
      </w:r>
      <w:r>
        <w:t>eling—the expression of nascent nationalism</w:t>
      </w:r>
      <w:r w:rsidR="00F33251">
        <w:t>.</w:t>
      </w:r>
      <w:r>
        <w:t xml:space="preserve"> The aspiration toward national autonomy in Sy</w:t>
      </w:r>
      <w:r w:rsidR="00A71CE0">
        <w:t>r</w:t>
      </w:r>
      <w:r>
        <w:t>ia and Egypt f</w:t>
      </w:r>
      <w:r w:rsidR="00A71CE0">
        <w:t>o</w:t>
      </w:r>
      <w:r>
        <w:t>und expression in theological creeds that were used as a tool to throw o</w:t>
      </w:r>
      <w:r w:rsidR="00A71CE0">
        <w:t>ff</w:t>
      </w:r>
      <w:r>
        <w:t xml:space="preserve"> the imperial mantle of </w:t>
      </w:r>
      <w:r w:rsidR="00CD5251">
        <w:t>Constantinople.</w:t>
      </w:r>
      <w:r w:rsidR="0043211C">
        <w:t xml:space="preserve"> </w:t>
      </w:r>
      <w:r w:rsidR="005B0AE3">
        <w:t>These po</w:t>
      </w:r>
      <w:r>
        <w:t>tent movements of religious nationalism spelled permanent schism for the chu</w:t>
      </w:r>
      <w:r w:rsidR="005B0AE3">
        <w:t>r</w:t>
      </w:r>
      <w:r>
        <w:t xml:space="preserve">ch, and the dislocation of a once proud </w:t>
      </w:r>
      <w:r w:rsidR="00322F4F">
        <w:t>Empire</w:t>
      </w:r>
      <w:r>
        <w:t xml:space="preserve">, making it easy </w:t>
      </w:r>
      <w:r w:rsidR="005B0AE3">
        <w:t>f</w:t>
      </w:r>
      <w:r>
        <w:t>or the Muslim conqueror in the seventh century to overrun</w:t>
      </w:r>
      <w:r w:rsidR="005B0AE3">
        <w:t xml:space="preserve">. </w:t>
      </w:r>
      <w:r>
        <w:t>The quasi-mi</w:t>
      </w:r>
      <w:r w:rsidR="005B0AE3">
        <w:t>r</w:t>
      </w:r>
      <w:r>
        <w:t>acul</w:t>
      </w:r>
      <w:r w:rsidR="005B0AE3">
        <w:t>o</w:t>
      </w:r>
      <w:r>
        <w:t>us preservation of church unity that had p</w:t>
      </w:r>
      <w:r w:rsidR="005B0AE3">
        <w:t>r</w:t>
      </w:r>
      <w:r>
        <w:t>eva</w:t>
      </w:r>
      <w:r w:rsidR="005B0AE3">
        <w:t>il</w:t>
      </w:r>
      <w:r>
        <w:t xml:space="preserve">ed during the Arian crisis finally failed under the onslaught of these new separatist forces. </w:t>
      </w:r>
    </w:p>
    <w:p w14:paraId="7BF22AF7" w14:textId="77777777" w:rsidR="00544629" w:rsidRDefault="00544629" w:rsidP="00F013EB">
      <w:pPr>
        <w:pStyle w:val="NormalWeb"/>
        <w:spacing w:before="120" w:beforeAutospacing="0" w:after="120" w:afterAutospacing="0" w:line="300" w:lineRule="auto"/>
        <w:ind w:firstLine="720"/>
      </w:pPr>
      <w:r>
        <w:t xml:space="preserve">The quarrel </w:t>
      </w:r>
      <w:r w:rsidR="003A4FEF">
        <w:t>fl</w:t>
      </w:r>
      <w:r>
        <w:t>a</w:t>
      </w:r>
      <w:r w:rsidR="003A4FEF">
        <w:t>r</w:t>
      </w:r>
      <w:r>
        <w:t>ed up initially between two pat</w:t>
      </w:r>
      <w:r w:rsidR="003A4FEF">
        <w:t>r</w:t>
      </w:r>
      <w:r>
        <w:t>i</w:t>
      </w:r>
      <w:r w:rsidR="003A4FEF">
        <w:t>ar</w:t>
      </w:r>
      <w:r>
        <w:t>chs of g</w:t>
      </w:r>
      <w:r w:rsidR="003A4FEF">
        <w:t>r</w:t>
      </w:r>
      <w:r>
        <w:t>eat rival sees, Nesto</w:t>
      </w:r>
      <w:r w:rsidR="003A4FEF">
        <w:t>r</w:t>
      </w:r>
      <w:r>
        <w:t>ius of Constantinople and Cyril of Alexandria. Both men had proved to be unduly harsh in their treatment of dissident groups, and their confrontation had disastrous effects for the church.</w:t>
      </w:r>
      <w:r w:rsidR="003A4FEF">
        <w:t xml:space="preserve"> </w:t>
      </w:r>
      <w:r w:rsidR="00C93B4F" w:rsidRPr="007262F1">
        <w:rPr>
          <w:rStyle w:val="FootnoteReference"/>
          <w:b/>
        </w:rPr>
        <w:footnoteReference w:id="47"/>
      </w:r>
      <w:r>
        <w:t xml:space="preserve"> </w:t>
      </w:r>
    </w:p>
    <w:p w14:paraId="14673F7E" w14:textId="77777777" w:rsidR="00544629" w:rsidRDefault="00544629" w:rsidP="00F013EB">
      <w:pPr>
        <w:pStyle w:val="NormalWeb"/>
        <w:spacing w:before="120" w:beforeAutospacing="0" w:after="120" w:afterAutospacing="0" w:line="300" w:lineRule="auto"/>
        <w:ind w:firstLine="720"/>
      </w:pPr>
      <w:r>
        <w:t>Nesto</w:t>
      </w:r>
      <w:r w:rsidR="003A4FEF">
        <w:t>r</w:t>
      </w:r>
      <w:r>
        <w:t>ius had been called by Theodosius II from his native see of Antioch to serve as preacher to the court of Constantinople. N</w:t>
      </w:r>
      <w:r w:rsidR="003A4FEF">
        <w:t>e</w:t>
      </w:r>
      <w:r>
        <w:t>sto</w:t>
      </w:r>
      <w:r w:rsidR="003A4FEF">
        <w:t>r</w:t>
      </w:r>
      <w:r>
        <w:t>ius</w:t>
      </w:r>
      <w:r w:rsidR="003A4FEF">
        <w:t>’</w:t>
      </w:r>
      <w:r>
        <w:t xml:space="preserve"> Ch</w:t>
      </w:r>
      <w:r w:rsidR="003A4FEF">
        <w:t>r</w:t>
      </w:r>
      <w:r>
        <w:t>istology is sometimes referred to as “duophysitism” or tw</w:t>
      </w:r>
      <w:r w:rsidR="003A4FEF">
        <w:t>o-</w:t>
      </w:r>
      <w:r>
        <w:t>natu</w:t>
      </w:r>
      <w:r w:rsidR="003A4FEF">
        <w:t>r</w:t>
      </w:r>
      <w:r>
        <w:t>ed Ch</w:t>
      </w:r>
      <w:r w:rsidR="003A4FEF">
        <w:t>r</w:t>
      </w:r>
      <w:r>
        <w:t>istology (Gk</w:t>
      </w:r>
      <w:r w:rsidR="003A4FEF">
        <w:t>.</w:t>
      </w:r>
      <w:r>
        <w:t xml:space="preserve"> </w:t>
      </w:r>
      <w:r w:rsidRPr="003A4FEF">
        <w:rPr>
          <w:i/>
        </w:rPr>
        <w:t>p</w:t>
      </w:r>
      <w:r w:rsidR="003A4FEF" w:rsidRPr="003A4FEF">
        <w:rPr>
          <w:i/>
        </w:rPr>
        <w:t>h</w:t>
      </w:r>
      <w:r w:rsidRPr="003A4FEF">
        <w:rPr>
          <w:i/>
        </w:rPr>
        <w:t>y</w:t>
      </w:r>
      <w:r w:rsidR="003A4FEF" w:rsidRPr="003A4FEF">
        <w:rPr>
          <w:i/>
        </w:rPr>
        <w:t>sis</w:t>
      </w:r>
      <w:r>
        <w:t xml:space="preserve"> ‘nature</w:t>
      </w:r>
      <w:r w:rsidR="003A4FEF">
        <w:t>’</w:t>
      </w:r>
      <w:r>
        <w:t>) since he believed that the divine and human natu</w:t>
      </w:r>
      <w:r w:rsidR="00B0204E">
        <w:t>res</w:t>
      </w:r>
      <w:r>
        <w:t xml:space="preserve"> of Jesus op</w:t>
      </w:r>
      <w:r w:rsidR="00B0204E">
        <w:t>era</w:t>
      </w:r>
      <w:r w:rsidR="00167225">
        <w:t>ted in a loosely knit unity or “</w:t>
      </w:r>
      <w:r>
        <w:t>conjunction,</w:t>
      </w:r>
      <w:r w:rsidR="00167225">
        <w:t>”</w:t>
      </w:r>
      <w:r>
        <w:t xml:space="preserve"> </w:t>
      </w:r>
      <w:r w:rsidR="00167225">
        <w:t>as</w:t>
      </w:r>
      <w:r>
        <w:t xml:space="preserve"> he w</w:t>
      </w:r>
      <w:r w:rsidR="00167225">
        <w:t>r</w:t>
      </w:r>
      <w:r>
        <w:t>ote.</w:t>
      </w:r>
      <w:r w:rsidR="000C6305" w:rsidRPr="000C6305">
        <w:rPr>
          <w:rStyle w:val="FootnoteReference"/>
          <w:b/>
        </w:rPr>
        <w:footnoteReference w:id="48"/>
      </w:r>
      <w:r>
        <w:t xml:space="preserve"> But as a learned exponent of antioch</w:t>
      </w:r>
      <w:r w:rsidR="00B0204E">
        <w:t>e</w:t>
      </w:r>
      <w:r>
        <w:t>ne theology Nesto</w:t>
      </w:r>
      <w:r w:rsidR="00167225">
        <w:t>r</w:t>
      </w:r>
      <w:r>
        <w:t>ius laid emphasis on the humanity of Jesus, a long</w:t>
      </w:r>
      <w:r w:rsidR="00167225">
        <w:t>-</w:t>
      </w:r>
      <w:r>
        <w:t>standing tradition reflective of its Judaic origins</w:t>
      </w:r>
      <w:r w:rsidR="00167225">
        <w:t>.</w:t>
      </w:r>
      <w:r>
        <w:t xml:space="preserve"> For Nestorius Christ</w:t>
      </w:r>
      <w:r w:rsidR="00167225">
        <w:t>’</w:t>
      </w:r>
      <w:r>
        <w:t xml:space="preserve">s humanity was crucial to his soteriological </w:t>
      </w:r>
      <w:r w:rsidR="00167225">
        <w:t>role.</w:t>
      </w:r>
      <w:r>
        <w:t xml:space="preserve"> To win the salvation of </w:t>
      </w:r>
      <w:r w:rsidR="00167225">
        <w:t>men Christ had made use of His f</w:t>
      </w:r>
      <w:r>
        <w:t xml:space="preserve">ree will and the power of His rational soul, attributes He shared with other men. </w:t>
      </w:r>
      <w:r>
        <w:lastRenderedPageBreak/>
        <w:t xml:space="preserve">His sacrifice was not compelled. Christ wanted to show the ordinary believer that salvation could be won only by willingly accepting God’s will, as He Himself had willingly accepted the </w:t>
      </w:r>
      <w:r w:rsidRPr="00C94F60">
        <w:t>cross</w:t>
      </w:r>
      <w:r>
        <w:t xml:space="preserve">. </w:t>
      </w:r>
    </w:p>
    <w:p w14:paraId="57FB7EB1" w14:textId="77777777" w:rsidR="00544629" w:rsidRDefault="00544629" w:rsidP="00F013EB">
      <w:pPr>
        <w:pStyle w:val="NormalWeb"/>
        <w:spacing w:before="120" w:beforeAutospacing="0" w:after="120" w:afterAutospacing="0" w:line="300" w:lineRule="auto"/>
        <w:ind w:firstLine="720"/>
      </w:pPr>
      <w:r>
        <w:t>At the heart of the controversy between Cyril and Nestorius was the philosophical problem of reconciling duality with oneness. Any talk of a two</w:t>
      </w:r>
      <w:r w:rsidR="00180BF7">
        <w:t xml:space="preserve"> </w:t>
      </w:r>
      <w:r>
        <w:t>natu</w:t>
      </w:r>
      <w:r w:rsidR="00180BF7">
        <w:t>r</w:t>
      </w:r>
      <w:r>
        <w:t xml:space="preserve">ed Jesus was unsettling to Cyril and his Alexandrian school. Nestorius’ emphasis on the humanity of Jesus </w:t>
      </w:r>
      <w:r w:rsidR="00C94F60">
        <w:t>l</w:t>
      </w:r>
      <w:r>
        <w:t>ed Cyril to charge him with denying the divinity of Christ. Nestorius</w:t>
      </w:r>
      <w:r w:rsidR="00C94F60">
        <w:t>’</w:t>
      </w:r>
      <w:r>
        <w:t xml:space="preserve"> too careful distinctions be</w:t>
      </w:r>
      <w:r w:rsidR="00C94F60">
        <w:t>t</w:t>
      </w:r>
      <w:r>
        <w:t>we</w:t>
      </w:r>
      <w:r w:rsidR="00C94F60">
        <w:t>en the divinity and manhood of J</w:t>
      </w:r>
      <w:r>
        <w:t>esus led Cyril to charge that Nesto</w:t>
      </w:r>
      <w:r w:rsidR="00C94F60">
        <w:t>r</w:t>
      </w:r>
      <w:r>
        <w:t>ius had in a sense mutilated the unity of Christ</w:t>
      </w:r>
      <w:r w:rsidR="00C94F60">
        <w:t>’</w:t>
      </w:r>
      <w:r>
        <w:t>s person that had been fused through the Logos</w:t>
      </w:r>
      <w:r w:rsidR="00C94F60">
        <w:t>.</w:t>
      </w:r>
      <w:r w:rsidR="000902A7" w:rsidRPr="000902A7">
        <w:rPr>
          <w:rStyle w:val="FootnoteReference"/>
          <w:b/>
        </w:rPr>
        <w:footnoteReference w:id="49"/>
      </w:r>
      <w:r>
        <w:t xml:space="preserve"> Cyril</w:t>
      </w:r>
      <w:r w:rsidR="00C94F60">
        <w:t>’</w:t>
      </w:r>
      <w:r>
        <w:t xml:space="preserve">s teaching is usually </w:t>
      </w:r>
      <w:r w:rsidR="00C94F60">
        <w:t>r</w:t>
      </w:r>
      <w:r>
        <w:t>efe</w:t>
      </w:r>
      <w:r w:rsidR="00C94F60">
        <w:t>rr</w:t>
      </w:r>
      <w:r>
        <w:t>ed to as “Monophysite” since it stressed one nature in Jesus, His divinity. Fo</w:t>
      </w:r>
      <w:r w:rsidR="00C94F60">
        <w:t>r</w:t>
      </w:r>
      <w:r>
        <w:t xml:space="preserve"> Cyril there was no such thing as Christ</w:t>
      </w:r>
      <w:r w:rsidR="00AC6175">
        <w:t>’s</w:t>
      </w:r>
      <w:r>
        <w:t xml:space="preserve"> humanity in the </w:t>
      </w:r>
      <w:r w:rsidR="00AC6175">
        <w:t>o</w:t>
      </w:r>
      <w:r>
        <w:t>rdinary sense. All</w:t>
      </w:r>
      <w:r w:rsidR="00AC6175">
        <w:t xml:space="preserve"> </w:t>
      </w:r>
      <w:r>
        <w:t>His human attributes we</w:t>
      </w:r>
      <w:r w:rsidR="00AC6175">
        <w:t>r</w:t>
      </w:r>
      <w:r>
        <w:t>e divine, since they served as vehicles for the Logos, Christ</w:t>
      </w:r>
      <w:r w:rsidR="00AC6175">
        <w:t>’</w:t>
      </w:r>
      <w:r>
        <w:t xml:space="preserve">s eternal divinity. Cyril </w:t>
      </w:r>
      <w:r w:rsidR="00AC6175">
        <w:t>c</w:t>
      </w:r>
      <w:r>
        <w:t xml:space="preserve">arried the implications of his beliefs to the extreme. The baby Jesus was nothing less than God in the flesh and Mary the Gk. </w:t>
      </w:r>
      <w:r w:rsidRPr="00AC6175">
        <w:rPr>
          <w:i/>
        </w:rPr>
        <w:t>the</w:t>
      </w:r>
      <w:r w:rsidR="00AC6175" w:rsidRPr="00AC6175">
        <w:rPr>
          <w:i/>
        </w:rPr>
        <w:t>otokos</w:t>
      </w:r>
      <w:r>
        <w:t xml:space="preserve"> </w:t>
      </w:r>
      <w:r w:rsidR="00AC6175">
        <w:t>‘</w:t>
      </w:r>
      <w:r>
        <w:t>mothe</w:t>
      </w:r>
      <w:r w:rsidR="00AC6175">
        <w:t>r</w:t>
      </w:r>
      <w:r>
        <w:t xml:space="preserve"> of God,’ a notion that was for him sac</w:t>
      </w:r>
      <w:r w:rsidR="00AC6175">
        <w:t>r</w:t>
      </w:r>
      <w:r>
        <w:t>osa</w:t>
      </w:r>
      <w:r w:rsidR="00AC6175">
        <w:t>n</w:t>
      </w:r>
      <w:r>
        <w:t>ct.</w:t>
      </w:r>
      <w:r w:rsidR="000902A7" w:rsidRPr="000902A7">
        <w:rPr>
          <w:rStyle w:val="FootnoteReference"/>
          <w:b/>
        </w:rPr>
        <w:footnoteReference w:id="50"/>
      </w:r>
      <w:r w:rsidR="00AC6175">
        <w:t xml:space="preserve"> </w:t>
      </w:r>
      <w:r>
        <w:t>Unlike Nesto</w:t>
      </w:r>
      <w:r w:rsidR="00AC6175">
        <w:t>r</w:t>
      </w:r>
      <w:r>
        <w:t xml:space="preserve">ius, who argued that the humanity and divinity </w:t>
      </w:r>
      <w:r w:rsidR="00AC6175">
        <w:t>of Jesus were distinct, Cyril argued that they formed a “hypostatic union,</w:t>
      </w:r>
      <w:r w:rsidR="00D8127E">
        <w:t>”</w:t>
      </w:r>
      <w:r w:rsidR="00AC6175">
        <w:t xml:space="preserve"> a God-Man union, not unlike the pl</w:t>
      </w:r>
      <w:r w:rsidR="00D8127E">
        <w:t>atonic unity of body and soul, “</w:t>
      </w:r>
      <w:r w:rsidR="00AC6175">
        <w:t>the single unique Christ out of two dif</w:t>
      </w:r>
      <w:r w:rsidR="00D8127E">
        <w:t>fer</w:t>
      </w:r>
      <w:r w:rsidR="00AC6175">
        <w:t>ent natures.”</w:t>
      </w:r>
      <w:r w:rsidR="00623B50">
        <w:t xml:space="preserve"> </w:t>
      </w:r>
      <w:r w:rsidR="000902A7" w:rsidRPr="00971B01">
        <w:rPr>
          <w:rStyle w:val="FootnoteReference"/>
          <w:b/>
        </w:rPr>
        <w:footnoteReference w:id="51"/>
      </w:r>
      <w:r w:rsidR="00AC6175">
        <w:t xml:space="preserve"> Cyril</w:t>
      </w:r>
      <w:r w:rsidR="00D8127E">
        <w:t>’</w:t>
      </w:r>
      <w:r w:rsidR="00AC6175">
        <w:t>s teaching contributed in large measure to the theology of the incarnation.</w:t>
      </w:r>
    </w:p>
    <w:p w14:paraId="663835CC" w14:textId="77777777" w:rsidR="00544629" w:rsidRDefault="00544629" w:rsidP="00F013EB">
      <w:pPr>
        <w:pStyle w:val="NormalWeb"/>
        <w:spacing w:before="120" w:beforeAutospacing="0" w:after="120" w:afterAutospacing="0" w:line="300" w:lineRule="auto"/>
        <w:ind w:firstLine="720"/>
      </w:pPr>
      <w:r>
        <w:t xml:space="preserve">The distinctions between the </w:t>
      </w:r>
      <w:r w:rsidR="003B7E81">
        <w:t>two</w:t>
      </w:r>
      <w:r>
        <w:t xml:space="preserve"> theologies were, indeed, dubious</w:t>
      </w:r>
      <w:r w:rsidR="001E19FA">
        <w:t>.</w:t>
      </w:r>
      <w:r>
        <w:t xml:space="preserve"> As often happens in confrontations, ironically, the d</w:t>
      </w:r>
      <w:r w:rsidR="003B7E81">
        <w:t>isputants seemed to be saying exactly the same thing, “</w:t>
      </w:r>
      <w:r>
        <w:t>one out of both,</w:t>
      </w:r>
      <w:r w:rsidR="003B7E81">
        <w:t>”</w:t>
      </w:r>
      <w:r>
        <w:t xml:space="preserve"> for Cyril, and “twofold in his being G</w:t>
      </w:r>
      <w:r w:rsidR="003B7E81">
        <w:t>o</w:t>
      </w:r>
      <w:r>
        <w:t>d and man,</w:t>
      </w:r>
      <w:r w:rsidR="003B7E81">
        <w:t>”</w:t>
      </w:r>
      <w:r>
        <w:t xml:space="preserve"> for Nestorius</w:t>
      </w:r>
      <w:r w:rsidR="003B7E81">
        <w:t>.</w:t>
      </w:r>
      <w:r w:rsidR="00971B01" w:rsidRPr="001A5B60">
        <w:rPr>
          <w:rStyle w:val="FootnoteReference"/>
          <w:b/>
        </w:rPr>
        <w:footnoteReference w:id="52"/>
      </w:r>
      <w:r w:rsidRPr="001A5B60">
        <w:rPr>
          <w:b/>
        </w:rPr>
        <w:t xml:space="preserve"> </w:t>
      </w:r>
      <w:r>
        <w:t>It was hai</w:t>
      </w:r>
      <w:r w:rsidR="003B7E81">
        <w:t>r</w:t>
      </w:r>
      <w:r>
        <w:t>-splitting theology at its worst, suiting pe</w:t>
      </w:r>
      <w:r w:rsidR="003B7E81">
        <w:t>r</w:t>
      </w:r>
      <w:r>
        <w:t>fectly Christ</w:t>
      </w:r>
      <w:r w:rsidR="003B7E81">
        <w:t>’</w:t>
      </w:r>
      <w:r>
        <w:t>s characterizati</w:t>
      </w:r>
      <w:r w:rsidR="003B7E81">
        <w:t>on of pharisaic discussions as “</w:t>
      </w:r>
      <w:r>
        <w:t>straining at a gnat</w:t>
      </w:r>
      <w:r w:rsidR="003B7E81">
        <w:t>”</w:t>
      </w:r>
      <w:r>
        <w:t xml:space="preserve"> and “swallowing a camel</w:t>
      </w:r>
      <w:r w:rsidR="003B7E81">
        <w:t>”</w:t>
      </w:r>
      <w:r>
        <w:t xml:space="preserve"> (Math 23:24). There were clearly other motives at work than a shee</w:t>
      </w:r>
      <w:r w:rsidR="003B7E81">
        <w:t>r</w:t>
      </w:r>
      <w:r>
        <w:t xml:space="preserve"> concern for theological truth</w:t>
      </w:r>
      <w:r w:rsidR="009A3258">
        <w:t>.</w:t>
      </w:r>
      <w:r>
        <w:t xml:space="preserve"> </w:t>
      </w:r>
    </w:p>
    <w:p w14:paraId="1574C9B9" w14:textId="77777777" w:rsidR="00544629" w:rsidRDefault="00544629" w:rsidP="00F013EB">
      <w:pPr>
        <w:pStyle w:val="NormalWeb"/>
        <w:spacing w:before="120" w:beforeAutospacing="0" w:after="120" w:afterAutospacing="0" w:line="300" w:lineRule="auto"/>
        <w:ind w:firstLine="720"/>
      </w:pPr>
      <w:r>
        <w:t>The quarrel escalated with an exchange o</w:t>
      </w:r>
      <w:r w:rsidR="003B7E81">
        <w:t>f pastoral letters between the p</w:t>
      </w:r>
      <w:r>
        <w:t>atriarchs</w:t>
      </w:r>
      <w:r w:rsidR="003B7E81">
        <w:t>.</w:t>
      </w:r>
      <w:r>
        <w:t xml:space="preserve"> Having won the support of Pope Celestine and convinced that he would be vindicated at a general council of the church</w:t>
      </w:r>
      <w:r w:rsidR="003B7E81">
        <w:t>,</w:t>
      </w:r>
      <w:r>
        <w:t xml:space="preserve"> Cyril used his influence on Emperor Theodosius </w:t>
      </w:r>
      <w:r w:rsidR="003B7E81">
        <w:t>II</w:t>
      </w:r>
      <w:r>
        <w:t xml:space="preserve"> to summon the third world council of the church at Ephesus in A.D. 431.</w:t>
      </w:r>
      <w:r w:rsidR="001A5B60" w:rsidRPr="00BC77E9">
        <w:rPr>
          <w:rStyle w:val="FootnoteReference"/>
          <w:b/>
        </w:rPr>
        <w:footnoteReference w:id="53"/>
      </w:r>
      <w:r>
        <w:t xml:space="preserve"> While inclement weather delayed the </w:t>
      </w:r>
      <w:r>
        <w:lastRenderedPageBreak/>
        <w:t>arrival of Nestorius</w:t>
      </w:r>
      <w:r w:rsidR="003B7E81">
        <w:t>’</w:t>
      </w:r>
      <w:r>
        <w:t xml:space="preserve"> delegation, Cyril and sixty Alexandrian bishops went ahead and unilaterally excommunicated Nest</w:t>
      </w:r>
      <w:r w:rsidR="003B7E81">
        <w:t>orius, “</w:t>
      </w:r>
      <w:r>
        <w:t>the new Judas.”</w:t>
      </w:r>
      <w:r w:rsidR="007233C1">
        <w:t xml:space="preserve"> </w:t>
      </w:r>
      <w:r w:rsidR="007233C1" w:rsidRPr="007233C1">
        <w:rPr>
          <w:rStyle w:val="FootnoteReference"/>
          <w:b/>
        </w:rPr>
        <w:footnoteReference w:id="54"/>
      </w:r>
      <w:r w:rsidR="003B7E81">
        <w:t xml:space="preserve"> </w:t>
      </w:r>
      <w:r>
        <w:t>A tragicomedy ensued. Upon arriving f</w:t>
      </w:r>
      <w:r w:rsidR="006E1F71">
        <w:t>our</w:t>
      </w:r>
      <w:r>
        <w:t xml:space="preserve"> days later Nestorius and his delegation he</w:t>
      </w:r>
      <w:r w:rsidR="00A0153A">
        <w:t>ld their own rival synod and ex</w:t>
      </w:r>
      <w:r>
        <w:t>c</w:t>
      </w:r>
      <w:r w:rsidR="00A0153A">
        <w:t>ommunic</w:t>
      </w:r>
      <w:r>
        <w:t>ated Cyril and his ally, Memnon, the Bishop of Ephesus. The exasperated emperor confirmed the excommunica</w:t>
      </w:r>
      <w:r w:rsidR="00A0153A">
        <w:t>ti</w:t>
      </w:r>
      <w:r>
        <w:t>ons of the rival councils and ordered both Cyril and Nesto</w:t>
      </w:r>
      <w:r w:rsidR="00A0153A">
        <w:t>r</w:t>
      </w:r>
      <w:r w:rsidR="007A14D7">
        <w:t>ius out of office.</w:t>
      </w:r>
    </w:p>
    <w:p w14:paraId="3C6B864A" w14:textId="77777777" w:rsidR="00544629" w:rsidRDefault="00544629" w:rsidP="00F013EB">
      <w:pPr>
        <w:pStyle w:val="NormalWeb"/>
        <w:spacing w:before="120" w:beforeAutospacing="0" w:after="120" w:afterAutospacing="0" w:line="300" w:lineRule="auto"/>
        <w:ind w:firstLine="720"/>
      </w:pPr>
      <w:r>
        <w:t xml:space="preserve">In a </w:t>
      </w:r>
      <w:r w:rsidR="004357EF">
        <w:t>t</w:t>
      </w:r>
      <w:r>
        <w:t>u</w:t>
      </w:r>
      <w:r w:rsidR="004357EF">
        <w:t>rn</w:t>
      </w:r>
      <w:r>
        <w:t>about Nestorius</w:t>
      </w:r>
      <w:r w:rsidR="004357EF">
        <w:t>’</w:t>
      </w:r>
      <w:r>
        <w:t xml:space="preserve"> Oriental bishops withdrew their support after lea</w:t>
      </w:r>
      <w:r w:rsidR="004357EF">
        <w:t>rnin</w:t>
      </w:r>
      <w:r>
        <w:t xml:space="preserve">g of his excommunication, something he must have felt as a cruel betrayal. Banished to the Egyptian desert, Nestorius died a solitary and tragic figure </w:t>
      </w:r>
      <w:r w:rsidR="009A3258">
        <w:t>i</w:t>
      </w:r>
      <w:r>
        <w:t>n A</w:t>
      </w:r>
      <w:r w:rsidR="002B527F">
        <w:t>.</w:t>
      </w:r>
      <w:r>
        <w:t>D. 450</w:t>
      </w:r>
      <w:r w:rsidR="002B527F">
        <w:t>.</w:t>
      </w:r>
      <w:r>
        <w:t xml:space="preserve"> Cyril, through bribery at the court, </w:t>
      </w:r>
      <w:r w:rsidR="002B527F">
        <w:t>retained</w:t>
      </w:r>
      <w:r>
        <w:t xml:space="preserve"> his bishop</w:t>
      </w:r>
      <w:r w:rsidR="002B527F">
        <w:t>r</w:t>
      </w:r>
      <w:r>
        <w:t>ic until his death in AD. 444. It was Cyril</w:t>
      </w:r>
      <w:r w:rsidR="00A812FF">
        <w:t>’</w:t>
      </w:r>
      <w:r>
        <w:t xml:space="preserve">s theology that was ultimately declared canonic at Ephesus. </w:t>
      </w:r>
    </w:p>
    <w:p w14:paraId="040B94AF" w14:textId="77777777" w:rsidR="00544629" w:rsidRDefault="00544629" w:rsidP="00F013EB">
      <w:pPr>
        <w:pStyle w:val="NormalWeb"/>
        <w:spacing w:before="120" w:beforeAutospacing="0" w:after="120" w:afterAutospacing="0" w:line="300" w:lineRule="auto"/>
        <w:ind w:firstLine="720"/>
      </w:pPr>
      <w:r w:rsidRPr="0027058A">
        <w:t>The successors</w:t>
      </w:r>
      <w:r>
        <w:t xml:space="preserve"> to both parties persisted in their fanaticism, thus necessitating a second counci</w:t>
      </w:r>
      <w:r w:rsidR="0051585E">
        <w:t xml:space="preserve">l at Ephesus in </w:t>
      </w:r>
      <w:r w:rsidR="009F304D">
        <w:t>A.D.</w:t>
      </w:r>
      <w:r w:rsidR="0051585E">
        <w:t xml:space="preserve"> 449, dubbed “</w:t>
      </w:r>
      <w:r>
        <w:t>The Robber Synod</w:t>
      </w:r>
      <w:r w:rsidR="0051585E">
        <w:t>”</w:t>
      </w:r>
      <w:r>
        <w:t xml:space="preserve"> by Pope Leo I. Here the princes </w:t>
      </w:r>
      <w:r w:rsidR="0051585E">
        <w:t>o</w:t>
      </w:r>
      <w:r>
        <w:t xml:space="preserve">f the Monophysite Egyptian church </w:t>
      </w:r>
      <w:r w:rsidR="0051585E">
        <w:t>resor</w:t>
      </w:r>
      <w:r>
        <w:t>ted to murder to vindicate their theology. The Nesto</w:t>
      </w:r>
      <w:r w:rsidR="0051585E">
        <w:t>rian</w:t>
      </w:r>
      <w:r>
        <w:t xml:space="preserve"> patriarch of Constantinople, Flavian, was arbitrarily condemned, dragged from the altar by a group of Alexandrian monks, and beaten so badly that he died within days. The same church councils that the fathers had insi</w:t>
      </w:r>
      <w:r w:rsidR="00394B46">
        <w:t>s</w:t>
      </w:r>
      <w:r>
        <w:t>t</w:t>
      </w:r>
      <w:r w:rsidR="009A3258">
        <w:t>e</w:t>
      </w:r>
      <w:r>
        <w:t>d were inspired by the breaths of the Holy Spirit had now become the arena for the murder of a patriarch.”</w:t>
      </w:r>
      <w:r w:rsidR="0027058A">
        <w:t xml:space="preserve"> </w:t>
      </w:r>
      <w:r w:rsidR="007233C1" w:rsidRPr="003E21E1">
        <w:rPr>
          <w:rStyle w:val="FootnoteReference"/>
          <w:b/>
        </w:rPr>
        <w:footnoteReference w:id="55"/>
      </w:r>
      <w:r>
        <w:t xml:space="preserve"> His crime was that he had subscribed to a different theology. </w:t>
      </w:r>
    </w:p>
    <w:p w14:paraId="4B53C235" w14:textId="77777777" w:rsidR="00544629" w:rsidRDefault="00544629" w:rsidP="00F013EB">
      <w:pPr>
        <w:pStyle w:val="NormalWeb"/>
        <w:spacing w:before="120" w:beforeAutospacing="0" w:after="120" w:afterAutospacing="0" w:line="300" w:lineRule="auto"/>
      </w:pPr>
      <w:r w:rsidRPr="000275C6">
        <w:rPr>
          <w:sz w:val="20"/>
          <w:szCs w:val="20"/>
        </w:rPr>
        <w:t xml:space="preserve"> </w:t>
      </w:r>
      <w:r w:rsidR="003E21E1">
        <w:rPr>
          <w:sz w:val="20"/>
          <w:szCs w:val="20"/>
        </w:rPr>
        <w:tab/>
      </w:r>
      <w:r>
        <w:t xml:space="preserve">The murder of Flavian threatened not only the unity of the church </w:t>
      </w:r>
      <w:r w:rsidR="00284AB4">
        <w:t>b</w:t>
      </w:r>
      <w:r>
        <w:t xml:space="preserve">ut the Byzantine </w:t>
      </w:r>
      <w:r w:rsidR="00322F4F">
        <w:t>Empire</w:t>
      </w:r>
      <w:r>
        <w:t xml:space="preserve"> itself. In a last</w:t>
      </w:r>
      <w:r w:rsidR="00284AB4">
        <w:t>-</w:t>
      </w:r>
      <w:r>
        <w:t>dit</w:t>
      </w:r>
      <w:r w:rsidR="00284AB4">
        <w:t>c</w:t>
      </w:r>
      <w:r>
        <w:t xml:space="preserve">h attempt to preserve the </w:t>
      </w:r>
      <w:r w:rsidR="00284AB4">
        <w:t>chur</w:t>
      </w:r>
      <w:r w:rsidR="00322F4F">
        <w:t>c</w:t>
      </w:r>
      <w:r w:rsidR="00284AB4">
        <w:t>h-</w:t>
      </w:r>
      <w:r>
        <w:t>state f</w:t>
      </w:r>
      <w:r w:rsidR="00284AB4">
        <w:t>ro</w:t>
      </w:r>
      <w:r>
        <w:t xml:space="preserve">m schism, the fourth ecumenical </w:t>
      </w:r>
      <w:r w:rsidR="00284AB4">
        <w:t>co</w:t>
      </w:r>
      <w:r>
        <w:t>uncil was convened at Chalcedon, near Constantinople, in A.</w:t>
      </w:r>
      <w:r w:rsidR="000A6173">
        <w:t xml:space="preserve">D. </w:t>
      </w:r>
      <w:r>
        <w:t>45</w:t>
      </w:r>
      <w:r w:rsidR="000A6173">
        <w:t xml:space="preserve">1. </w:t>
      </w:r>
      <w:r>
        <w:t>I</w:t>
      </w:r>
      <w:r w:rsidR="000A6173">
        <w:t>t</w:t>
      </w:r>
      <w:r>
        <w:t>s aim was to produce a</w:t>
      </w:r>
      <w:r w:rsidR="000A6173">
        <w:t xml:space="preserve"> universal </w:t>
      </w:r>
      <w:r w:rsidR="009B6F20">
        <w:t xml:space="preserve">Christological </w:t>
      </w:r>
      <w:r>
        <w:t xml:space="preserve">statement that would weld together the Egyptian Monophysite and Nestorian theologies of the church thereby subduing the flames of separatism that threatened to disrupt the </w:t>
      </w:r>
      <w:r w:rsidR="00322F4F">
        <w:t>Empire</w:t>
      </w:r>
      <w:r w:rsidR="000A6173">
        <w:t xml:space="preserve">. </w:t>
      </w:r>
      <w:r>
        <w:t>Subsequent history revealed, however, that the factions were unwilling to compromise</w:t>
      </w:r>
      <w:r w:rsidR="000A6173">
        <w:t>.</w:t>
      </w:r>
      <w:r>
        <w:t xml:space="preserve"> </w:t>
      </w:r>
    </w:p>
    <w:p w14:paraId="674E53C7" w14:textId="77777777" w:rsidR="00544629" w:rsidRDefault="00544629" w:rsidP="00F013EB">
      <w:pPr>
        <w:pStyle w:val="NormalWeb"/>
        <w:spacing w:before="120" w:beforeAutospacing="0" w:after="120" w:afterAutospacing="0" w:line="300" w:lineRule="auto"/>
        <w:ind w:firstLine="720"/>
      </w:pPr>
      <w:r>
        <w:t>The theological formula produced at Chal</w:t>
      </w:r>
      <w:r w:rsidR="006E384B">
        <w:t>c</w:t>
      </w:r>
      <w:r>
        <w:t xml:space="preserve">edon was that of divine incarnation. It stated in </w:t>
      </w:r>
      <w:r w:rsidR="006E384B">
        <w:t>i</w:t>
      </w:r>
      <w:r w:rsidR="006133FA">
        <w:t>ts basic ou</w:t>
      </w:r>
      <w:r>
        <w:t xml:space="preserve">tline that Christ was both perfect God and perfect man, made known in two distinct natures in a hypostatic union without </w:t>
      </w:r>
      <w:r w:rsidR="003B1A3E">
        <w:t>confusion</w:t>
      </w:r>
      <w:r>
        <w:t xml:space="preserve"> or admixture. Of necessity the Chalcedon formula had to be a compromise mosaic of the theologies of Antioch and Alexandria</w:t>
      </w:r>
      <w:r w:rsidR="009C497F">
        <w:t>.</w:t>
      </w:r>
      <w:r>
        <w:t xml:space="preserve"> Statements of Roman theology were also </w:t>
      </w:r>
      <w:r w:rsidRPr="00D31D6A">
        <w:t>written in</w:t>
      </w:r>
      <w:r>
        <w:t xml:space="preserve">. </w:t>
      </w:r>
    </w:p>
    <w:p w14:paraId="42F0E20B" w14:textId="77777777" w:rsidR="00544629" w:rsidRDefault="00544629" w:rsidP="00F013EB">
      <w:pPr>
        <w:pStyle w:val="NormalWeb"/>
        <w:spacing w:before="120" w:beforeAutospacing="0" w:after="120" w:afterAutospacing="0" w:line="300" w:lineRule="auto"/>
        <w:ind w:firstLine="720"/>
      </w:pPr>
      <w:r>
        <w:lastRenderedPageBreak/>
        <w:t>As a comp</w:t>
      </w:r>
      <w:r w:rsidR="00D83D11">
        <w:t>ro</w:t>
      </w:r>
      <w:r>
        <w:t>mise, however, Chal</w:t>
      </w:r>
      <w:r w:rsidR="004F4593">
        <w:t>c</w:t>
      </w:r>
      <w:r>
        <w:t>edo</w:t>
      </w:r>
      <w:r w:rsidR="004F4593">
        <w:t>n</w:t>
      </w:r>
      <w:r w:rsidR="00D31D6A">
        <w:t xml:space="preserve"> failed to please t</w:t>
      </w:r>
      <w:r>
        <w:t>he churches either of Egypt or Syria</w:t>
      </w:r>
      <w:r w:rsidR="00D31D6A">
        <w:t>.</w:t>
      </w:r>
      <w:r>
        <w:t xml:space="preserve"> Monophysite Egyp</w:t>
      </w:r>
      <w:r w:rsidR="00D31D6A">
        <w:t>t rejected Chal</w:t>
      </w:r>
      <w:r w:rsidR="00EE3B86">
        <w:t>c</w:t>
      </w:r>
      <w:r w:rsidR="00D31D6A">
        <w:t>edon. Adopting “</w:t>
      </w:r>
      <w:r>
        <w:t>one nature</w:t>
      </w:r>
      <w:r w:rsidR="00D31D6A">
        <w:t>”</w:t>
      </w:r>
      <w:r>
        <w:t xml:space="preserve"> as her new creed, </w:t>
      </w:r>
      <w:r w:rsidR="00D31D6A">
        <w:t>the</w:t>
      </w:r>
      <w:r>
        <w:t xml:space="preserve"> church of Egypt, after a series of bloody revolts, broke with Constantinople in A</w:t>
      </w:r>
      <w:r w:rsidR="00D31D6A">
        <w:t>.</w:t>
      </w:r>
      <w:r>
        <w:t xml:space="preserve">D. 575 and formed a separate church, now known as the Coptic </w:t>
      </w:r>
      <w:r w:rsidR="00D31D6A">
        <w:t>Church</w:t>
      </w:r>
      <w:r>
        <w:t>. In Syria imper</w:t>
      </w:r>
      <w:r w:rsidR="00EE3B86">
        <w:t>ial forces from Constantinople r</w:t>
      </w:r>
      <w:r>
        <w:t>es</w:t>
      </w:r>
      <w:r w:rsidR="00EE3B86">
        <w:t>t</w:t>
      </w:r>
      <w:r>
        <w:t>ored order only after a bloody battle with armed Monophys</w:t>
      </w:r>
      <w:r w:rsidR="00DB6FFF">
        <w:t>i</w:t>
      </w:r>
      <w:r>
        <w:t>te monks</w:t>
      </w:r>
      <w:r w:rsidR="00EE3B86">
        <w:t>.</w:t>
      </w:r>
      <w:r>
        <w:t xml:space="preserve"> Jacob Baradaeus founded the Syrian Jacobite church by traveling a</w:t>
      </w:r>
      <w:r w:rsidR="00F14E90">
        <w:t>ro</w:t>
      </w:r>
      <w:r>
        <w:t>und the country disguised as a beggar and o</w:t>
      </w:r>
      <w:r w:rsidR="00F14E90">
        <w:t>r</w:t>
      </w:r>
      <w:r>
        <w:t>da</w:t>
      </w:r>
      <w:r w:rsidR="00F14E90">
        <w:t>i</w:t>
      </w:r>
      <w:r>
        <w:t>n</w:t>
      </w:r>
      <w:r w:rsidR="00F14E90">
        <w:t>i</w:t>
      </w:r>
      <w:r>
        <w:t>ng Monophysite bishops.</w:t>
      </w:r>
      <w:r w:rsidR="00C42B07" w:rsidRPr="00C42B07">
        <w:rPr>
          <w:rStyle w:val="FootnoteReference"/>
          <w:b/>
        </w:rPr>
        <w:footnoteReference w:id="56"/>
      </w:r>
      <w:r>
        <w:t xml:space="preserve"> </w:t>
      </w:r>
      <w:r w:rsidR="00B16743">
        <w:t xml:space="preserve"> </w:t>
      </w:r>
      <w:r>
        <w:t>The followers of Nestorius late</w:t>
      </w:r>
      <w:r w:rsidR="00F14E90">
        <w:t>r</w:t>
      </w:r>
      <w:r>
        <w:t xml:space="preserve"> migrated t</w:t>
      </w:r>
      <w:r w:rsidR="00F14E90">
        <w:t>o</w:t>
      </w:r>
      <w:r>
        <w:t xml:space="preserve"> Persia, from where they sent missionaries to India, Ceylon, and even as fa</w:t>
      </w:r>
      <w:r w:rsidR="00F14E90">
        <w:t>r</w:t>
      </w:r>
      <w:r>
        <w:t xml:space="preserve"> as China. </w:t>
      </w:r>
    </w:p>
    <w:p w14:paraId="2E1C974A" w14:textId="77777777" w:rsidR="00544629" w:rsidRDefault="00544629" w:rsidP="00F013EB">
      <w:pPr>
        <w:pStyle w:val="NormalWeb"/>
        <w:spacing w:before="120" w:beforeAutospacing="0" w:after="120" w:afterAutospacing="0" w:line="300" w:lineRule="auto"/>
        <w:ind w:firstLine="720"/>
      </w:pPr>
      <w:r>
        <w:t>The alienati</w:t>
      </w:r>
      <w:r w:rsidR="005335ED">
        <w:t>on had grown so great between Copt and Greek orthodox t</w:t>
      </w:r>
      <w:r>
        <w:t>hat the Christians of Egypt threw open the gates of their cities to the Muslim invade</w:t>
      </w:r>
      <w:r w:rsidR="005335ED">
        <w:t>r</w:t>
      </w:r>
      <w:r>
        <w:t>s in A</w:t>
      </w:r>
      <w:r w:rsidR="005335ED">
        <w:t>.D. 641, welcoming them as l</w:t>
      </w:r>
      <w:r>
        <w:t>iberato</w:t>
      </w:r>
      <w:r w:rsidR="005335ED">
        <w:t>r</w:t>
      </w:r>
      <w:r>
        <w:t>s from the sway of Constan</w:t>
      </w:r>
      <w:r w:rsidR="005335ED">
        <w:t>ti</w:t>
      </w:r>
      <w:r>
        <w:t>nople. Like the blowing sands of the Arabian desert from which it was borne, Isl</w:t>
      </w:r>
      <w:r w:rsidR="005335ED">
        <w:t>á</w:t>
      </w:r>
      <w:r>
        <w:t xml:space="preserve">m quietly buried the religious war waged between the </w:t>
      </w:r>
      <w:r w:rsidR="00BA3840">
        <w:t>Gree</w:t>
      </w:r>
      <w:r>
        <w:t>k Orthodox anti Egyptian Monophysite Chris</w:t>
      </w:r>
      <w:r w:rsidR="00BA3840">
        <w:t>tians.</w:t>
      </w:r>
      <w:r w:rsidR="008A6A8F" w:rsidRPr="008A6A8F">
        <w:rPr>
          <w:rStyle w:val="FootnoteReference"/>
          <w:b/>
        </w:rPr>
        <w:footnoteReference w:id="57"/>
      </w:r>
    </w:p>
    <w:p w14:paraId="19E4BCD0" w14:textId="77777777" w:rsidR="00544629" w:rsidRPr="00085EEF" w:rsidRDefault="00544629" w:rsidP="00F013EB">
      <w:pPr>
        <w:pStyle w:val="NormalWeb"/>
        <w:spacing w:before="120" w:beforeAutospacing="0" w:after="120" w:afterAutospacing="0" w:line="300" w:lineRule="auto"/>
        <w:rPr>
          <w:b/>
          <w:i/>
        </w:rPr>
      </w:pPr>
      <w:r w:rsidRPr="00085EEF">
        <w:rPr>
          <w:b/>
          <w:i/>
        </w:rPr>
        <w:t>A Ba</w:t>
      </w:r>
      <w:r w:rsidR="00BA3840" w:rsidRPr="00085EEF">
        <w:rPr>
          <w:b/>
          <w:i/>
        </w:rPr>
        <w:t xml:space="preserve">há’í Perspective on the </w:t>
      </w:r>
      <w:r w:rsidRPr="00085EEF">
        <w:rPr>
          <w:b/>
          <w:i/>
        </w:rPr>
        <w:t>Deificati</w:t>
      </w:r>
      <w:r w:rsidR="00BA3840" w:rsidRPr="00085EEF">
        <w:rPr>
          <w:b/>
          <w:i/>
        </w:rPr>
        <w:t>on</w:t>
      </w:r>
      <w:r w:rsidRPr="00085EEF">
        <w:rPr>
          <w:b/>
          <w:i/>
        </w:rPr>
        <w:t xml:space="preserve"> </w:t>
      </w:r>
      <w:r w:rsidR="00BA3840" w:rsidRPr="00085EEF">
        <w:rPr>
          <w:b/>
          <w:i/>
        </w:rPr>
        <w:t>o</w:t>
      </w:r>
      <w:r w:rsidRPr="00085EEF">
        <w:rPr>
          <w:b/>
          <w:i/>
        </w:rPr>
        <w:t>f J</w:t>
      </w:r>
      <w:r w:rsidR="00BA3840" w:rsidRPr="00085EEF">
        <w:rPr>
          <w:b/>
          <w:i/>
        </w:rPr>
        <w:t>esus</w:t>
      </w:r>
      <w:r w:rsidRPr="00085EEF">
        <w:rPr>
          <w:b/>
          <w:i/>
        </w:rPr>
        <w:t xml:space="preserve"> </w:t>
      </w:r>
    </w:p>
    <w:p w14:paraId="772C439D" w14:textId="77777777" w:rsidR="00544629" w:rsidRDefault="009C4536" w:rsidP="00F013EB">
      <w:pPr>
        <w:pStyle w:val="NormalWeb"/>
        <w:spacing w:before="120" w:beforeAutospacing="0" w:after="120" w:afterAutospacing="0" w:line="300" w:lineRule="auto"/>
        <w:ind w:firstLine="720"/>
      </w:pPr>
      <w:r>
        <w:t>I DO NOT INTEND t</w:t>
      </w:r>
      <w:r w:rsidR="00544629">
        <w:t>hat the foregoing should be taken merely as a lesson in the contortions of early Ch</w:t>
      </w:r>
      <w:r>
        <w:t>r</w:t>
      </w:r>
      <w:r w:rsidR="00EE7664">
        <w:t>istian theology. Along w</w:t>
      </w:r>
      <w:r w:rsidR="00544629">
        <w:t xml:space="preserve">ith the specifics of the deity of Jesus, about which more shall be said, the </w:t>
      </w:r>
      <w:r w:rsidR="009B6F20">
        <w:t xml:space="preserve">Christological </w:t>
      </w:r>
      <w:r w:rsidR="00544629">
        <w:t xml:space="preserve">controversies lead us to a greater understanding of the problems of a growing religion. </w:t>
      </w:r>
    </w:p>
    <w:p w14:paraId="782AC5E2" w14:textId="77777777" w:rsidR="00544629" w:rsidRDefault="00544629" w:rsidP="00F013EB">
      <w:pPr>
        <w:pStyle w:val="NormalWeb"/>
        <w:spacing w:before="120" w:beforeAutospacing="0" w:after="120" w:afterAutospacing="0" w:line="300" w:lineRule="auto"/>
        <w:ind w:firstLine="720"/>
      </w:pPr>
      <w:r>
        <w:t xml:space="preserve">The early church fell into disharmony and ultimately warfare over the person of Jesus because of </w:t>
      </w:r>
      <w:r w:rsidR="00087451">
        <w:t>thr</w:t>
      </w:r>
      <w:r>
        <w:t>ee closely related factors: (1) the lack of a unified system of belief; (2) the lack of a clearly authorized interpretation of doctrine; and (3) the lack of clearly defined roles in the</w:t>
      </w:r>
      <w:r w:rsidR="00087451">
        <w:t xml:space="preserve"> administration of the churches. </w:t>
      </w:r>
      <w:r>
        <w:t>It might prove of interest to compare these Christian developments with parallel elements in the Bahá’í Faith</w:t>
      </w:r>
      <w:r w:rsidR="00D331FF">
        <w:t>.</w:t>
      </w:r>
      <w:r>
        <w:t xml:space="preserve"> </w:t>
      </w:r>
    </w:p>
    <w:p w14:paraId="1BF66604" w14:textId="77777777" w:rsidR="00544629" w:rsidRDefault="00872A80" w:rsidP="00F013EB">
      <w:pPr>
        <w:pStyle w:val="NormalWeb"/>
        <w:spacing w:before="120" w:beforeAutospacing="0" w:after="120" w:afterAutospacing="0" w:line="300" w:lineRule="auto"/>
        <w:ind w:firstLine="720"/>
      </w:pPr>
      <w:r>
        <w:t>During the first c</w:t>
      </w:r>
      <w:r w:rsidR="00544629">
        <w:t xml:space="preserve">entury, Christians had no canonical scripture. The Old </w:t>
      </w:r>
      <w:r>
        <w:t xml:space="preserve">Testament in the Septuagint version continued to be used as the only authorized Holy Writ. </w:t>
      </w:r>
      <w:r w:rsidR="00544629" w:rsidRPr="009B52B1">
        <w:t>The teachings</w:t>
      </w:r>
      <w:r w:rsidR="00544629">
        <w:t xml:space="preserve"> of Jesus ci</w:t>
      </w:r>
      <w:r w:rsidR="00294CC4">
        <w:t>r</w:t>
      </w:r>
      <w:r w:rsidR="00544629">
        <w:t>culated in diverse oral traditions th</w:t>
      </w:r>
      <w:r w:rsidR="00294CC4">
        <w:t>r</w:t>
      </w:r>
      <w:r w:rsidR="00544629">
        <w:t>oughout the communities. The church rec</w:t>
      </w:r>
      <w:r w:rsidR="00294CC4">
        <w:t>o</w:t>
      </w:r>
      <w:r w:rsidR="00544629">
        <w:t>gnized the necessity of a fixed New Testament canon to combat the Gnostic heresies, but no o</w:t>
      </w:r>
      <w:r w:rsidR="00FE22F7">
        <w:t>r</w:t>
      </w:r>
      <w:r w:rsidR="00544629">
        <w:t>de</w:t>
      </w:r>
      <w:r w:rsidR="00FE22F7">
        <w:t>r</w:t>
      </w:r>
      <w:r w:rsidR="00544629">
        <w:t xml:space="preserve"> of books </w:t>
      </w:r>
      <w:r w:rsidR="00544629">
        <w:lastRenderedPageBreak/>
        <w:t>was agreed upon until the end of the second centu</w:t>
      </w:r>
      <w:r w:rsidR="00FE22F7">
        <w:t>r</w:t>
      </w:r>
      <w:r w:rsidR="00544629">
        <w:t>y.</w:t>
      </w:r>
      <w:r w:rsidR="00FB75BC" w:rsidRPr="00412799">
        <w:rPr>
          <w:rStyle w:val="FootnoteReference"/>
          <w:b/>
        </w:rPr>
        <w:footnoteReference w:id="58"/>
      </w:r>
      <w:r w:rsidR="00544629">
        <w:t xml:space="preserve"> Even with the tentative fixing of the canon </w:t>
      </w:r>
      <w:r w:rsidR="001068A0">
        <w:t>the</w:t>
      </w:r>
      <w:r w:rsidR="00544629">
        <w:t xml:space="preserve"> Aria</w:t>
      </w:r>
      <w:r w:rsidR="001068A0">
        <w:t>n</w:t>
      </w:r>
      <w:r w:rsidR="00544629">
        <w:t xml:space="preserve"> c</w:t>
      </w:r>
      <w:r w:rsidR="001068A0">
        <w:t>r</w:t>
      </w:r>
      <w:r w:rsidR="00544629">
        <w:t>isis raised once more the question of authoritative doctrine</w:t>
      </w:r>
      <w:r w:rsidR="001068A0">
        <w:t>. Without a c</w:t>
      </w:r>
      <w:r w:rsidR="00544629">
        <w:t>lea</w:t>
      </w:r>
      <w:r w:rsidR="001068A0">
        <w:t>r</w:t>
      </w:r>
      <w:r w:rsidR="00544629">
        <w:t>ly designa</w:t>
      </w:r>
      <w:r w:rsidR="001068A0">
        <w:t>t</w:t>
      </w:r>
      <w:r w:rsidR="00544629">
        <w:t>ed inte</w:t>
      </w:r>
      <w:r w:rsidR="001068A0">
        <w:t>rpr</w:t>
      </w:r>
      <w:r w:rsidR="00544629">
        <w:t>ete</w:t>
      </w:r>
      <w:r w:rsidR="001068A0">
        <w:t>r</w:t>
      </w:r>
      <w:r w:rsidR="00544629">
        <w:t xml:space="preserve"> of Christ’s teachings, individual bishops put forth their own interp</w:t>
      </w:r>
      <w:r w:rsidR="001068A0">
        <w:t>r</w:t>
      </w:r>
      <w:r w:rsidR="00544629">
        <w:t xml:space="preserve">etations of </w:t>
      </w:r>
      <w:r w:rsidR="009B6F20">
        <w:t xml:space="preserve">Christological </w:t>
      </w:r>
      <w:r w:rsidR="00544629">
        <w:t>questions as inspired by the Holy Spirit and made their teachings binding upon the faithful in their</w:t>
      </w:r>
      <w:r w:rsidR="00004101">
        <w:t xml:space="preserve"> c</w:t>
      </w:r>
      <w:r w:rsidR="00544629">
        <w:t>a</w:t>
      </w:r>
      <w:r w:rsidR="00004101">
        <w:t>r</w:t>
      </w:r>
      <w:r w:rsidR="00544629">
        <w:t>e, bringing about confrontations between bishops.</w:t>
      </w:r>
      <w:r w:rsidR="00412799" w:rsidRPr="00412799">
        <w:rPr>
          <w:rStyle w:val="FootnoteReference"/>
          <w:b/>
        </w:rPr>
        <w:footnoteReference w:id="59"/>
      </w:r>
      <w:r w:rsidR="00544629">
        <w:t xml:space="preserve"> Another complicating factor was the r</w:t>
      </w:r>
      <w:r w:rsidR="00004101">
        <w:t>o</w:t>
      </w:r>
      <w:r w:rsidR="00544629">
        <w:t>le of philosophy</w:t>
      </w:r>
      <w:r w:rsidR="00004101">
        <w:t xml:space="preserve">. </w:t>
      </w:r>
      <w:r w:rsidR="00544629">
        <w:t>By the time of the A</w:t>
      </w:r>
      <w:r w:rsidR="00004101">
        <w:t>r</w:t>
      </w:r>
      <w:r w:rsidR="00544629">
        <w:t>ian schism philosophy was in the mainstream of the intellectual life of the church</w:t>
      </w:r>
      <w:r w:rsidR="00F43467">
        <w:t>.</w:t>
      </w:r>
      <w:r w:rsidR="00544629">
        <w:t xml:space="preserve"> The fathers used philosophical concepts and schemes to elucidate and buttress theological argument. This naturally involved a great deal of speculation and individual interpretation that ultimately fostered heresy</w:t>
      </w:r>
      <w:r w:rsidR="00594458">
        <w:t>.</w:t>
      </w:r>
      <w:r w:rsidR="00544629">
        <w:t xml:space="preserve"> The key </w:t>
      </w:r>
      <w:r w:rsidR="00B426F3">
        <w:t>w</w:t>
      </w:r>
      <w:r w:rsidR="00544629">
        <w:t>ord in the Ni</w:t>
      </w:r>
      <w:r w:rsidR="00B426F3">
        <w:t>c</w:t>
      </w:r>
      <w:r w:rsidR="00544629">
        <w:t xml:space="preserve">ene </w:t>
      </w:r>
      <w:r w:rsidR="00B426F3">
        <w:t>Creed</w:t>
      </w:r>
      <w:r w:rsidR="00544629">
        <w:t xml:space="preserve"> </w:t>
      </w:r>
      <w:r w:rsidR="00544629" w:rsidRPr="00B426F3">
        <w:rPr>
          <w:i/>
        </w:rPr>
        <w:t>h</w:t>
      </w:r>
      <w:r w:rsidR="00B426F3" w:rsidRPr="00B426F3">
        <w:rPr>
          <w:i/>
        </w:rPr>
        <w:t>omoousios</w:t>
      </w:r>
      <w:r w:rsidR="00544629">
        <w:t xml:space="preserve"> was bo</w:t>
      </w:r>
      <w:r w:rsidR="00B426F3">
        <w:t>rrowed from philosophy. How different</w:t>
      </w:r>
      <w:r w:rsidR="00544629">
        <w:t xml:space="preserve"> from the earlier days of the church when only New Testament teaching had been the rule, as it was in the struggle with the Gnostics, who had p</w:t>
      </w:r>
      <w:r w:rsidR="00B426F3">
        <w:t>r</w:t>
      </w:r>
      <w:r w:rsidR="00544629">
        <w:t xml:space="preserve">oven themselves masters </w:t>
      </w:r>
      <w:r w:rsidR="00B426F3">
        <w:t>in</w:t>
      </w:r>
      <w:r w:rsidR="00544629">
        <w:t xml:space="preserve"> “</w:t>
      </w:r>
      <w:r w:rsidR="00B426F3">
        <w:t>esoterica.”</w:t>
      </w:r>
      <w:r w:rsidR="00544629">
        <w:t xml:space="preserve"> </w:t>
      </w:r>
    </w:p>
    <w:p w14:paraId="56B4651E" w14:textId="77777777" w:rsidR="00544629" w:rsidRDefault="00544629" w:rsidP="00F013EB">
      <w:pPr>
        <w:pStyle w:val="NormalWeb"/>
        <w:spacing w:before="120" w:beforeAutospacing="0" w:after="120" w:afterAutospacing="0" w:line="300" w:lineRule="auto"/>
        <w:ind w:firstLine="720"/>
      </w:pPr>
      <w:r>
        <w:t>The excessive decentralization of the church only exacerbated the fragmentation over doctrinal issues</w:t>
      </w:r>
      <w:r w:rsidR="007F2261">
        <w:t>.</w:t>
      </w:r>
      <w:r>
        <w:t xml:space="preserve"> Until the time that Pope Leo I (440</w:t>
      </w:r>
      <w:r w:rsidR="008F641E">
        <w:t>-</w:t>
      </w:r>
      <w:r>
        <w:t xml:space="preserve">61) </w:t>
      </w:r>
      <w:r w:rsidR="008F641E">
        <w:t>asserted the p</w:t>
      </w:r>
      <w:r>
        <w:t>rimacy of Rome over other sees, bishops were on an equal footing as sole rulers of their congregations</w:t>
      </w:r>
      <w:r w:rsidR="008F641E">
        <w:t>.</w:t>
      </w:r>
      <w:r>
        <w:t xml:space="preserve"> When Nestorius and Cy</w:t>
      </w:r>
      <w:r w:rsidR="00305175">
        <w:t>r</w:t>
      </w:r>
      <w:r>
        <w:t>il waged theological warfare, the who</w:t>
      </w:r>
      <w:r w:rsidR="00305175">
        <w:t>le congregations o</w:t>
      </w:r>
      <w:r>
        <w:t>f Cons</w:t>
      </w:r>
      <w:r w:rsidR="00305175">
        <w:t>t</w:t>
      </w:r>
      <w:r>
        <w:t>an</w:t>
      </w:r>
      <w:r w:rsidR="00305175">
        <w:t>tin</w:t>
      </w:r>
      <w:r>
        <w:t>ople and Alexandria were perforce brought into the fray, and no supreme head was able to compose di</w:t>
      </w:r>
      <w:r w:rsidR="00305175">
        <w:t>fferenc</w:t>
      </w:r>
      <w:r>
        <w:t>es. The Bahá’í Faith, on the contrary, has been fortunate enough</w:t>
      </w:r>
      <w:r w:rsidR="002812A2">
        <w:t>,</w:t>
      </w:r>
      <w:r>
        <w:t xml:space="preserve"> by virtue of its written covenants, to have had only one clearly designated leader at any given time in its history as well as, from the very beginnings of the Revelation, </w:t>
      </w:r>
      <w:r w:rsidR="005117D9">
        <w:t>a</w:t>
      </w:r>
      <w:r>
        <w:t xml:space="preserve"> written body of scripture that was universally acce</w:t>
      </w:r>
      <w:r w:rsidR="005117D9">
        <w:t>pted. Its administrative order s</w:t>
      </w:r>
      <w:r>
        <w:t xml:space="preserve">trives to strike the balance between the excesses of </w:t>
      </w:r>
      <w:r w:rsidR="00050117">
        <w:t>over centralization</w:t>
      </w:r>
      <w:r>
        <w:t xml:space="preserve"> and decentralization.</w:t>
      </w:r>
      <w:r w:rsidR="00E12ACC" w:rsidRPr="004A625E">
        <w:rPr>
          <w:rStyle w:val="FootnoteReference"/>
          <w:b/>
        </w:rPr>
        <w:footnoteReference w:id="60"/>
      </w:r>
      <w:r>
        <w:t xml:space="preserve"> Generally speaking, in the Bahá’í Faith, institutional expansion has followed in an orderly fashion the transmission of the Revelation</w:t>
      </w:r>
      <w:r w:rsidR="001848A6">
        <w:t>.</w:t>
      </w:r>
      <w:r w:rsidR="004A625E" w:rsidRPr="004A625E">
        <w:rPr>
          <w:rStyle w:val="FootnoteReference"/>
          <w:b/>
        </w:rPr>
        <w:footnoteReference w:id="61"/>
      </w:r>
      <w:r>
        <w:t xml:space="preserve"> In the early </w:t>
      </w:r>
      <w:r w:rsidR="001848A6">
        <w:t xml:space="preserve">Christian </w:t>
      </w:r>
      <w:r>
        <w:t>church the institutions were being expanded while doctrinal and scriptural questions were being completed in the midst of major schism</w:t>
      </w:r>
      <w:r w:rsidR="001848A6">
        <w:t>.</w:t>
      </w:r>
      <w:r>
        <w:t xml:space="preserve"> In the Bahá’í Faith “Unity of doctrine</w:t>
      </w:r>
      <w:r w:rsidR="001848A6">
        <w:t>”</w:t>
      </w:r>
      <w:r>
        <w:t xml:space="preserve"> was maintained </w:t>
      </w:r>
      <w:r w:rsidR="001848A6">
        <w:t>fr</w:t>
      </w:r>
      <w:r>
        <w:t xml:space="preserve">om the very beginning by authentic texts of scripture as well as their authorized interpretation by </w:t>
      </w:r>
      <w:r w:rsidR="001848A6">
        <w:t>‘Abdu’l-B</w:t>
      </w:r>
      <w:r>
        <w:t>ah</w:t>
      </w:r>
      <w:r w:rsidR="001848A6">
        <w:t>á</w:t>
      </w:r>
      <w:r>
        <w:t xml:space="preserve"> and </w:t>
      </w:r>
      <w:r w:rsidR="001848A6">
        <w:t>Shoghi Effendi. “Unity of adminis</w:t>
      </w:r>
      <w:r>
        <w:t>t</w:t>
      </w:r>
      <w:r w:rsidR="001848A6">
        <w:t>r</w:t>
      </w:r>
      <w:r>
        <w:t>atio</w:t>
      </w:r>
      <w:r w:rsidR="001848A6">
        <w:t>n”</w:t>
      </w:r>
      <w:r>
        <w:t xml:space="preserve"> is ass</w:t>
      </w:r>
      <w:r w:rsidR="001848A6">
        <w:t>ur</w:t>
      </w:r>
      <w:r>
        <w:t>ed by the Universal House of Justice.</w:t>
      </w:r>
      <w:r w:rsidR="004A625E" w:rsidRPr="004A625E">
        <w:rPr>
          <w:rStyle w:val="FootnoteReference"/>
          <w:b/>
        </w:rPr>
        <w:footnoteReference w:id="62"/>
      </w:r>
      <w:r>
        <w:t xml:space="preserve"> </w:t>
      </w:r>
    </w:p>
    <w:p w14:paraId="61981C8B" w14:textId="77777777" w:rsidR="00544629" w:rsidRDefault="009B52B1" w:rsidP="00F013EB">
      <w:pPr>
        <w:pStyle w:val="NormalWeb"/>
        <w:spacing w:before="120" w:beforeAutospacing="0" w:after="120" w:afterAutospacing="0" w:line="300" w:lineRule="auto"/>
        <w:ind w:firstLine="720"/>
      </w:pPr>
      <w:r>
        <w:lastRenderedPageBreak/>
        <w:t xml:space="preserve">The </w:t>
      </w:r>
      <w:r w:rsidR="009B6F20">
        <w:t xml:space="preserve">Christological </w:t>
      </w:r>
      <w:r w:rsidR="00544629">
        <w:t>controversies reveal the tragedy of religious controversy. Contrived beliefs in the infallible guidance of the Holy Spirit in church council justified frat</w:t>
      </w:r>
      <w:r>
        <w:t>r</w:t>
      </w:r>
      <w:r w:rsidR="00544629">
        <w:t>icidal warfare waged on fellow Christians because they did not share the same theology. One is also struck by the gap between Christian morality and theology, between vi</w:t>
      </w:r>
      <w:r>
        <w:t>r</w:t>
      </w:r>
      <w:r w:rsidR="00544629">
        <w:t>tue and learning. How different from Bahá’u’lláh</w:t>
      </w:r>
      <w:r>
        <w:t>’</w:t>
      </w:r>
      <w:r w:rsidR="00544629">
        <w:t>s teaching in which the teacher</w:t>
      </w:r>
      <w:r>
        <w:t>’s divine wisdom can only be r</w:t>
      </w:r>
      <w:r w:rsidR="00544629">
        <w:t>eflected to the degree that he practices the spiritual virtues recommended by the Manifestation.</w:t>
      </w:r>
      <w:r w:rsidR="00C673E7" w:rsidRPr="00C673E7">
        <w:rPr>
          <w:rStyle w:val="FootnoteReference"/>
          <w:b/>
        </w:rPr>
        <w:footnoteReference w:id="63"/>
      </w:r>
      <w:r w:rsidR="00544629">
        <w:t xml:space="preserve"> Bahá’u’lláh has warned of the destructive force in religious disse</w:t>
      </w:r>
      <w:r>
        <w:t>nsion: “</w:t>
      </w:r>
      <w:r w:rsidR="00544629">
        <w:t>Religious fanaticism and hatred are a world</w:t>
      </w:r>
      <w:r>
        <w:t>-</w:t>
      </w:r>
      <w:r w:rsidR="00544629">
        <w:t xml:space="preserve">devouring fire, </w:t>
      </w:r>
      <w:r>
        <w:t>w</w:t>
      </w:r>
      <w:r w:rsidR="00544629">
        <w:t>hose violence none can quench.</w:t>
      </w:r>
      <w:r>
        <w:t>”</w:t>
      </w:r>
      <w:r w:rsidR="00817644">
        <w:t xml:space="preserve"> </w:t>
      </w:r>
      <w:r w:rsidR="00A26308" w:rsidRPr="00A26308">
        <w:rPr>
          <w:rStyle w:val="FootnoteReference"/>
          <w:b/>
        </w:rPr>
        <w:footnoteReference w:id="64"/>
      </w:r>
      <w:r w:rsidR="00544629">
        <w:t xml:space="preserve"> Even the mighty Constantine could not still the mating flames of the A</w:t>
      </w:r>
      <w:r>
        <w:t>ri</w:t>
      </w:r>
      <w:r w:rsidR="00544629">
        <w:t>an schism. The fatal consequences of the God</w:t>
      </w:r>
      <w:r>
        <w:t>-</w:t>
      </w:r>
      <w:r w:rsidR="00544629">
        <w:t xml:space="preserve">man debate for the Byzantine </w:t>
      </w:r>
      <w:r w:rsidR="00322F4F">
        <w:t>Empire</w:t>
      </w:r>
      <w:r w:rsidR="00544629">
        <w:t xml:space="preserve"> have already been alluded to.</w:t>
      </w:r>
      <w:r w:rsidR="00F558B6">
        <w:t xml:space="preserve"> At the same time, Bahá’u’lláh r</w:t>
      </w:r>
      <w:r w:rsidR="00544629">
        <w:t>eminds us of the essential purpose of religion so denatured by religious st</w:t>
      </w:r>
      <w:r w:rsidR="00F558B6">
        <w:t>r</w:t>
      </w:r>
      <w:r w:rsidR="00544629">
        <w:t>ife: “Oh people of the wo</w:t>
      </w:r>
      <w:r w:rsidR="00F558B6">
        <w:t>r</w:t>
      </w:r>
      <w:r w:rsidR="00544629">
        <w:t>ld</w:t>
      </w:r>
      <w:r w:rsidR="00F558B6">
        <w:t>!</w:t>
      </w:r>
      <w:r w:rsidR="00544629">
        <w:t xml:space="preserve"> The religion of God is to create love and unity; do not make it the cause of enmity and discord</w:t>
      </w:r>
      <w:r w:rsidR="00F558B6">
        <w:t>.”</w:t>
      </w:r>
      <w:r w:rsidR="00A26308">
        <w:t xml:space="preserve"> </w:t>
      </w:r>
      <w:r w:rsidR="00A26308" w:rsidRPr="00447239">
        <w:rPr>
          <w:rStyle w:val="FootnoteReference"/>
          <w:b/>
        </w:rPr>
        <w:footnoteReference w:id="65"/>
      </w:r>
      <w:r w:rsidR="00544629">
        <w:t xml:space="preserve"> </w:t>
      </w:r>
      <w:r w:rsidR="00544629" w:rsidRPr="002F6BA4">
        <w:t>Further</w:t>
      </w:r>
      <w:r w:rsidR="00544629">
        <w:t>, in “The First Glad Tidings,</w:t>
      </w:r>
      <w:r w:rsidR="006513B5">
        <w:t>”</w:t>
      </w:r>
      <w:r w:rsidR="00544629">
        <w:t xml:space="preserve"> Bahá’u’lláh specifically abolishes religious warfare, which had been accepted in previous dispens</w:t>
      </w:r>
      <w:r w:rsidR="006513B5">
        <w:t>a</w:t>
      </w:r>
      <w:r w:rsidR="00544629">
        <w:t>tions.</w:t>
      </w:r>
      <w:r w:rsidR="00447239" w:rsidRPr="00447239">
        <w:rPr>
          <w:rStyle w:val="FootnoteReference"/>
          <w:b/>
        </w:rPr>
        <w:footnoteReference w:id="66"/>
      </w:r>
      <w:r w:rsidR="006513B5">
        <w:t xml:space="preserve"> In the “</w:t>
      </w:r>
      <w:r w:rsidR="00544629">
        <w:t>Tablet of the World</w:t>
      </w:r>
      <w:r w:rsidR="006513B5">
        <w:t>”</w:t>
      </w:r>
      <w:r w:rsidR="00544629">
        <w:t xml:space="preserve"> Bahá’u’ll</w:t>
      </w:r>
      <w:r w:rsidR="006513B5">
        <w:t>áh abrogates what He calls the “</w:t>
      </w:r>
      <w:r w:rsidR="00544629">
        <w:t>four words,</w:t>
      </w:r>
      <w:r w:rsidR="006513B5">
        <w:t>”</w:t>
      </w:r>
      <w:r w:rsidR="00544629">
        <w:t xml:space="preserve"> all of which figured in the </w:t>
      </w:r>
      <w:r w:rsidR="008E6EAD">
        <w:t xml:space="preserve">Christological </w:t>
      </w:r>
      <w:r w:rsidR="00544629">
        <w:t>controversies: (1) “Destroying men’s lives</w:t>
      </w:r>
      <w:r w:rsidR="006513B5">
        <w:t>”; (2) “</w:t>
      </w:r>
      <w:r w:rsidR="00544629">
        <w:t xml:space="preserve">Burning the Books”; (3) </w:t>
      </w:r>
      <w:r w:rsidR="006513B5">
        <w:t>“S</w:t>
      </w:r>
      <w:r w:rsidR="00544629">
        <w:t>hunning other nations</w:t>
      </w:r>
      <w:r w:rsidR="006513B5">
        <w:t>”; and (4) “</w:t>
      </w:r>
      <w:r w:rsidR="00544629">
        <w:t>Exterminating othe</w:t>
      </w:r>
      <w:r w:rsidR="006513B5">
        <w:t>r</w:t>
      </w:r>
      <w:r w:rsidR="00544629">
        <w:t xml:space="preserve"> communities.</w:t>
      </w:r>
      <w:r w:rsidR="006513B5">
        <w:t>”</w:t>
      </w:r>
      <w:r w:rsidR="00447239">
        <w:t xml:space="preserve"> </w:t>
      </w:r>
      <w:r w:rsidR="00447239" w:rsidRPr="00447239">
        <w:rPr>
          <w:rStyle w:val="FootnoteReference"/>
          <w:b/>
        </w:rPr>
        <w:footnoteReference w:id="67"/>
      </w:r>
      <w:r w:rsidR="00544629">
        <w:t xml:space="preserve"> </w:t>
      </w:r>
    </w:p>
    <w:p w14:paraId="238BE8E0" w14:textId="77777777" w:rsidR="00544629" w:rsidRDefault="00544629" w:rsidP="00F013EB">
      <w:pPr>
        <w:pStyle w:val="NormalWeb"/>
        <w:spacing w:before="120" w:beforeAutospacing="0" w:after="120" w:afterAutospacing="0" w:line="300" w:lineRule="auto"/>
        <w:ind w:firstLine="720"/>
      </w:pPr>
      <w:r>
        <w:t>Bahá’u’lláh</w:t>
      </w:r>
      <w:r w:rsidR="006513B5">
        <w:t>’</w:t>
      </w:r>
      <w:r>
        <w:t>s prohibition of religious discord and His exhortations to fellowship a</w:t>
      </w:r>
      <w:r w:rsidR="006513B5">
        <w:t>re not o</w:t>
      </w:r>
      <w:r>
        <w:t>nly for the purposes o</w:t>
      </w:r>
      <w:r w:rsidR="006513B5">
        <w:t>f</w:t>
      </w:r>
      <w:r>
        <w:t xml:space="preserve"> main</w:t>
      </w:r>
      <w:r w:rsidR="006513B5">
        <w:t>taining</w:t>
      </w:r>
      <w:r>
        <w:t xml:space="preserve"> the social peace. They have a much deeper impa</w:t>
      </w:r>
      <w:r w:rsidR="001809CD">
        <w:t>c</w:t>
      </w:r>
      <w:r>
        <w:t>t on the epistemological implications of mankind’s intellectual life. As I see it, harmony and unity in religion are the preconditions that will lead man to the discovery of new spir</w:t>
      </w:r>
      <w:r w:rsidR="001809CD">
        <w:t>itual truths. ‘Abdu’l-Bahá has w</w:t>
      </w:r>
      <w:r>
        <w:t>ritten: “The fact that we imagine ou</w:t>
      </w:r>
      <w:r w:rsidR="001809CD">
        <w:t>rselves to be r</w:t>
      </w:r>
      <w:r>
        <w:t>ight and everybody else wrong is the greate</w:t>
      </w:r>
      <w:r w:rsidR="001809CD">
        <w:t>s</w:t>
      </w:r>
      <w:r>
        <w:t>t of all obstacles in the path towards unity, and unity is essential if we would reach Truth, for Truth is one.</w:t>
      </w:r>
      <w:r w:rsidR="001809CD">
        <w:t>”</w:t>
      </w:r>
      <w:r w:rsidR="00447239">
        <w:t xml:space="preserve"> </w:t>
      </w:r>
      <w:r w:rsidR="00055F85" w:rsidRPr="00055F85">
        <w:rPr>
          <w:rStyle w:val="FootnoteReference"/>
          <w:b/>
        </w:rPr>
        <w:footnoteReference w:id="68"/>
      </w:r>
      <w:r>
        <w:t xml:space="preserve"> This quotation suggests a plurality of meanings in any theological construct o</w:t>
      </w:r>
      <w:r w:rsidR="001809CD">
        <w:t>r</w:t>
      </w:r>
      <w:r>
        <w:t xml:space="preserve"> dialogue. </w:t>
      </w:r>
    </w:p>
    <w:p w14:paraId="49718DD3" w14:textId="77777777" w:rsidR="00544629" w:rsidRDefault="00544629" w:rsidP="00F013EB">
      <w:pPr>
        <w:pStyle w:val="NormalWeb"/>
        <w:spacing w:before="120" w:beforeAutospacing="0" w:after="120" w:afterAutospacing="0" w:line="300" w:lineRule="auto"/>
        <w:ind w:firstLine="720"/>
      </w:pPr>
      <w:r>
        <w:t>The othe</w:t>
      </w:r>
      <w:r w:rsidR="009A4430">
        <w:t xml:space="preserve">r lesson to be gained from the </w:t>
      </w:r>
      <w:r w:rsidR="009B6F20">
        <w:t xml:space="preserve">Christological </w:t>
      </w:r>
      <w:r>
        <w:t>controve</w:t>
      </w:r>
      <w:r w:rsidR="009A4430">
        <w:t>r</w:t>
      </w:r>
      <w:r>
        <w:t>sies is that man must recognize the limitations of his own knowledge. Christians allowed themselves to tamper with highly ab</w:t>
      </w:r>
      <w:r w:rsidR="009A4430">
        <w:t>s</w:t>
      </w:r>
      <w:r>
        <w:t>t</w:t>
      </w:r>
      <w:r w:rsidR="009A4430">
        <w:t>r</w:t>
      </w:r>
      <w:r>
        <w:t>act, speculat</w:t>
      </w:r>
      <w:r w:rsidR="009A4430">
        <w:t>i</w:t>
      </w:r>
      <w:r>
        <w:t xml:space="preserve">ve theological issues that were clearly beyond their </w:t>
      </w:r>
      <w:r w:rsidR="009A4430">
        <w:t>c</w:t>
      </w:r>
      <w:r>
        <w:t xml:space="preserve">apacity to </w:t>
      </w:r>
      <w:r>
        <w:lastRenderedPageBreak/>
        <w:t xml:space="preserve">comprehend. The first four ecumenical councils of </w:t>
      </w:r>
      <w:r w:rsidR="009A4430">
        <w:t>the church necessitated by the c</w:t>
      </w:r>
      <w:r>
        <w:t>ontrove</w:t>
      </w:r>
      <w:r w:rsidR="009A4430">
        <w:t>r</w:t>
      </w:r>
      <w:r>
        <w:t xml:space="preserve">sies reveal a deep-seated preoccupation with definition and analysis as a solution </w:t>
      </w:r>
      <w:r w:rsidR="009A4430">
        <w:t>to</w:t>
      </w:r>
      <w:r>
        <w:t xml:space="preserve"> doctrinal issues. Where the requisite spiritual attributes are lacking, this approach is clearly </w:t>
      </w:r>
      <w:r w:rsidR="0014174C">
        <w:t xml:space="preserve">not a means of solution. The leaders of the church passed beyond the bounds of </w:t>
      </w:r>
      <w:r>
        <w:t>“intellectual honesty and humility</w:t>
      </w:r>
      <w:r w:rsidR="00E457CF">
        <w:t>”</w:t>
      </w:r>
      <w:r>
        <w:t xml:space="preserve"> and put forth d</w:t>
      </w:r>
      <w:r w:rsidR="00E457CF">
        <w:t>o</w:t>
      </w:r>
      <w:r>
        <w:t>ct</w:t>
      </w:r>
      <w:r w:rsidR="00E457CF">
        <w:t>r</w:t>
      </w:r>
      <w:r>
        <w:t>ines that reflected their own imperfect understanding as perfect reflections at the will of the Holy Spirit.</w:t>
      </w:r>
      <w:r w:rsidR="00055F85" w:rsidRPr="00CA2B72">
        <w:rPr>
          <w:rStyle w:val="FootnoteReference"/>
          <w:b/>
        </w:rPr>
        <w:footnoteReference w:id="69"/>
      </w:r>
      <w:r>
        <w:t xml:space="preserve"> Bahá’í’s have also been warned about the same da</w:t>
      </w:r>
      <w:r w:rsidR="00E457CF">
        <w:t>n</w:t>
      </w:r>
      <w:r>
        <w:t>ge</w:t>
      </w:r>
      <w:r w:rsidR="00E457CF">
        <w:t>r</w:t>
      </w:r>
      <w:r>
        <w:t>s</w:t>
      </w:r>
      <w:r w:rsidR="00E457CF">
        <w:t>:</w:t>
      </w:r>
      <w:r>
        <w:t xml:space="preserve"> “In past dispensations many erro</w:t>
      </w:r>
      <w:r w:rsidR="00E457CF">
        <w:t>r</w:t>
      </w:r>
      <w:r>
        <w:t xml:space="preserve">s </w:t>
      </w:r>
      <w:r w:rsidR="00E457CF">
        <w:t>aro</w:t>
      </w:r>
      <w:r>
        <w:t>se because the believers in God’s revelation were ove</w:t>
      </w:r>
      <w:r w:rsidR="00E457CF">
        <w:t>r</w:t>
      </w:r>
      <w:r>
        <w:t>anxi</w:t>
      </w:r>
      <w:r w:rsidR="00E457CF">
        <w:t>o</w:t>
      </w:r>
      <w:r>
        <w:t xml:space="preserve">us to encompass the Divine Message </w:t>
      </w:r>
      <w:r w:rsidR="00E457CF">
        <w:t>w</w:t>
      </w:r>
      <w:r>
        <w:t>ithin the framework of their limited understanding . . . to argue that something was true because it appeared desirable and necessary.</w:t>
      </w:r>
      <w:r w:rsidR="00E457CF">
        <w:t>”</w:t>
      </w:r>
      <w:r w:rsidR="00F9015F">
        <w:t xml:space="preserve"> </w:t>
      </w:r>
      <w:r w:rsidR="002F7B31" w:rsidRPr="00B57474">
        <w:rPr>
          <w:rStyle w:val="FootnoteReference"/>
          <w:b/>
        </w:rPr>
        <w:footnoteReference w:id="70"/>
      </w:r>
      <w:r>
        <w:t xml:space="preserve"> </w:t>
      </w:r>
    </w:p>
    <w:p w14:paraId="245AB730" w14:textId="77777777" w:rsidR="00544629" w:rsidRDefault="00544629" w:rsidP="00F013EB">
      <w:pPr>
        <w:pStyle w:val="NormalWeb"/>
        <w:spacing w:before="120" w:beforeAutospacing="0" w:after="120" w:afterAutospacing="0" w:line="300" w:lineRule="auto"/>
        <w:ind w:firstLine="720"/>
      </w:pPr>
      <w:r>
        <w:t>Christian af</w:t>
      </w:r>
      <w:r w:rsidR="00E457CF">
        <w:t>firmati</w:t>
      </w:r>
      <w:r>
        <w:t xml:space="preserve">ons about the divinity </w:t>
      </w:r>
      <w:r w:rsidR="00E457CF">
        <w:t>of Jesus would w</w:t>
      </w:r>
      <w:r>
        <w:t xml:space="preserve">arrant several observations. First, it seems clear that the deification of Jesus belies the </w:t>
      </w:r>
      <w:r w:rsidR="00095B76">
        <w:t>o</w:t>
      </w:r>
      <w:r>
        <w:t>ft</w:t>
      </w:r>
      <w:r w:rsidR="00095B76">
        <w:t>-r</w:t>
      </w:r>
      <w:r>
        <w:t>epeated Christian affi</w:t>
      </w:r>
      <w:r w:rsidR="00095B76">
        <w:t>r</w:t>
      </w:r>
      <w:r>
        <w:t xml:space="preserve">mation that revelation is static. The deification issue evolved as a historical process, both biblically and </w:t>
      </w:r>
      <w:r w:rsidR="00EE13F7">
        <w:t>in</w:t>
      </w:r>
      <w:r>
        <w:t xml:space="preserve"> the c</w:t>
      </w:r>
      <w:r w:rsidR="00182C07">
        <w:t>r</w:t>
      </w:r>
      <w:r>
        <w:t>eeds. New Testament exegesis of Christ</w:t>
      </w:r>
      <w:r w:rsidR="00182C07">
        <w:t>’</w:t>
      </w:r>
      <w:r>
        <w:t xml:space="preserve">s earliest </w:t>
      </w:r>
      <w:r w:rsidR="009B6F20">
        <w:t xml:space="preserve">Christological </w:t>
      </w:r>
      <w:r>
        <w:t>titles as the “Suffering Servant</w:t>
      </w:r>
      <w:r w:rsidR="00182C07">
        <w:t>”</w:t>
      </w:r>
      <w:r>
        <w:t xml:space="preserve"> and the “True Prophet</w:t>
      </w:r>
      <w:r w:rsidR="008443DD">
        <w:t>”</w:t>
      </w:r>
      <w:r>
        <w:t xml:space="preserve"> cont</w:t>
      </w:r>
      <w:r w:rsidR="00B900B5">
        <w:t>r</w:t>
      </w:r>
      <w:r>
        <w:t>asted with later incarnation theology clearly indi</w:t>
      </w:r>
      <w:r w:rsidR="00D46EBE">
        <w:t>c</w:t>
      </w:r>
      <w:r>
        <w:t>ates this</w:t>
      </w:r>
      <w:r w:rsidR="00D46EBE">
        <w:t>.</w:t>
      </w:r>
      <w:r>
        <w:t xml:space="preserve"> The Apostles’ Creed, the fi</w:t>
      </w:r>
      <w:r w:rsidR="00B900B5">
        <w:t>r</w:t>
      </w:r>
      <w:r>
        <w:t>st o</w:t>
      </w:r>
      <w:r w:rsidR="00B900B5">
        <w:t>f</w:t>
      </w:r>
      <w:r>
        <w:t xml:space="preserve"> the </w:t>
      </w:r>
      <w:r w:rsidR="00B900B5">
        <w:t>extrabiblical</w:t>
      </w:r>
      <w:r>
        <w:t xml:space="preserve"> c</w:t>
      </w:r>
      <w:r w:rsidR="00B900B5">
        <w:t>r</w:t>
      </w:r>
      <w:r>
        <w:t>eeds, devised by the church of Rome as a reaction to Gnosticism, in no way even hints at Christ</w:t>
      </w:r>
      <w:r w:rsidR="00B900B5">
        <w:t>’</w:t>
      </w:r>
      <w:r>
        <w:t xml:space="preserve">s identification </w:t>
      </w:r>
      <w:r w:rsidR="00D46EBE">
        <w:t>w</w:t>
      </w:r>
      <w:r>
        <w:t>ith the Godhead. The deification itself did not occur until Nicaea in A</w:t>
      </w:r>
      <w:r w:rsidR="006527E1">
        <w:t>.</w:t>
      </w:r>
      <w:r>
        <w:t>D</w:t>
      </w:r>
      <w:r w:rsidR="006527E1">
        <w:t>.</w:t>
      </w:r>
      <w:r>
        <w:t xml:space="preserve"> 325, the doctrine being later ratified as </w:t>
      </w:r>
      <w:r w:rsidR="00693171">
        <w:t>Trinitarian</w:t>
      </w:r>
      <w:r>
        <w:t xml:space="preserve"> theology at Constantinople in A.</w:t>
      </w:r>
      <w:r w:rsidR="006527E1">
        <w:t xml:space="preserve"> D.</w:t>
      </w:r>
      <w:r>
        <w:t xml:space="preserve"> 381. </w:t>
      </w:r>
    </w:p>
    <w:p w14:paraId="4732769E" w14:textId="77777777" w:rsidR="00544629" w:rsidRDefault="008F320C" w:rsidP="00F013EB">
      <w:pPr>
        <w:pStyle w:val="NormalWeb"/>
        <w:spacing w:before="120" w:beforeAutospacing="0" w:after="120" w:afterAutospacing="0" w:line="300" w:lineRule="auto"/>
        <w:ind w:firstLine="720"/>
      </w:pPr>
      <w:r>
        <w:t>Though it would be quite w</w:t>
      </w:r>
      <w:r w:rsidR="00544629">
        <w:t xml:space="preserve">rong in Bahá’í terms to subordinate Christ to other mythological redeemers as the Gnostic </w:t>
      </w:r>
      <w:r>
        <w:t>heresy had done, one can still c</w:t>
      </w:r>
      <w:r w:rsidR="00544629">
        <w:t>learly discern how much of the Gnostic theological substratum Paul used in his own presentation of Christ. Paul</w:t>
      </w:r>
      <w:r>
        <w:t>’</w:t>
      </w:r>
      <w:r w:rsidR="00544629">
        <w:t>s thematic presentation of the fall of man and his enslavement to the evil powers, “rulers of this age</w:t>
      </w:r>
      <w:r>
        <w:t>”</w:t>
      </w:r>
      <w:r w:rsidR="00544629">
        <w:t xml:space="preserve"> (1 Cor. 2:8), and his victorious redemption by the Christ savior, all reveal feature; of a cosmic drama that is quite Gnostic</w:t>
      </w:r>
      <w:r>
        <w:t>.</w:t>
      </w:r>
      <w:r w:rsidR="00291B03" w:rsidRPr="00F63228">
        <w:rPr>
          <w:rStyle w:val="FootnoteReference"/>
          <w:b/>
        </w:rPr>
        <w:footnoteReference w:id="71"/>
      </w:r>
    </w:p>
    <w:p w14:paraId="75FD5E7E" w14:textId="77777777" w:rsidR="00544629" w:rsidRDefault="00544629" w:rsidP="00F013EB">
      <w:pPr>
        <w:pStyle w:val="NormalWeb"/>
        <w:spacing w:before="120" w:beforeAutospacing="0" w:after="120" w:afterAutospacing="0" w:line="300" w:lineRule="auto"/>
        <w:ind w:firstLine="720"/>
      </w:pPr>
      <w:r>
        <w:t>It was the A</w:t>
      </w:r>
      <w:r w:rsidR="008F320C">
        <w:t>ri</w:t>
      </w:r>
      <w:r>
        <w:t>an schism, however, that brought the whole question of Christ</w:t>
      </w:r>
      <w:r w:rsidR="008F320C">
        <w:t>’</w:t>
      </w:r>
      <w:r>
        <w:t>s divinity into the fo</w:t>
      </w:r>
      <w:r w:rsidR="008F320C">
        <w:t>r</w:t>
      </w:r>
      <w:r>
        <w:t>ef</w:t>
      </w:r>
      <w:r w:rsidR="008F320C">
        <w:t>ron</w:t>
      </w:r>
      <w:r>
        <w:t>t of the debate</w:t>
      </w:r>
      <w:r w:rsidR="008F320C">
        <w:t>.</w:t>
      </w:r>
      <w:r>
        <w:t xml:space="preserve"> It is tempting for Bahá’ís to see in A</w:t>
      </w:r>
      <w:r w:rsidR="008F320C">
        <w:t>r</w:t>
      </w:r>
      <w:r>
        <w:t>ius an ally of the Bahá’í’ view that basically sub</w:t>
      </w:r>
      <w:r w:rsidR="008F320C">
        <w:t>o</w:t>
      </w:r>
      <w:r>
        <w:t>rdinates the prophetic figure to God. Upon closer examination, however, A</w:t>
      </w:r>
      <w:r w:rsidR="008F320C">
        <w:t>r</w:t>
      </w:r>
      <w:r>
        <w:t>ius’ subo</w:t>
      </w:r>
      <w:r w:rsidR="008F320C">
        <w:t>r</w:t>
      </w:r>
      <w:r>
        <w:t>dinatio</w:t>
      </w:r>
      <w:r w:rsidR="008F320C">
        <w:t>ni</w:t>
      </w:r>
      <w:r>
        <w:t>st Ch</w:t>
      </w:r>
      <w:r w:rsidR="008F320C">
        <w:t>r</w:t>
      </w:r>
      <w:r>
        <w:t>istology re</w:t>
      </w:r>
      <w:r w:rsidR="00022945">
        <w:t>veals itself to be at variance w</w:t>
      </w:r>
      <w:r>
        <w:t>ith Bahá’í teaching. Unlike A</w:t>
      </w:r>
      <w:r w:rsidR="008F320C">
        <w:t>r</w:t>
      </w:r>
      <w:r>
        <w:t>ius who taught that Christ was properly a phenomenon, a created and finite Being, Bahá’í theology teaches that the Divine Manifestations are eternal in their station of the L</w:t>
      </w:r>
      <w:r w:rsidR="006979F4">
        <w:t>o</w:t>
      </w:r>
      <w:r>
        <w:t>g</w:t>
      </w:r>
      <w:r w:rsidR="006979F4">
        <w:t>os</w:t>
      </w:r>
      <w:r>
        <w:t xml:space="preserve">—that is, </w:t>
      </w:r>
      <w:r>
        <w:lastRenderedPageBreak/>
        <w:t>pre-existent to their human condition</w:t>
      </w:r>
      <w:r w:rsidR="006979F4">
        <w:t>.</w:t>
      </w:r>
      <w:r w:rsidR="00F63228">
        <w:t xml:space="preserve"> </w:t>
      </w:r>
      <w:r w:rsidR="00F63228" w:rsidRPr="00F63228">
        <w:rPr>
          <w:rStyle w:val="FootnoteReference"/>
          <w:b/>
        </w:rPr>
        <w:footnoteReference w:id="72"/>
      </w:r>
      <w:r w:rsidR="006979F4">
        <w:t xml:space="preserve"> </w:t>
      </w:r>
      <w:r>
        <w:t>Natu</w:t>
      </w:r>
      <w:r w:rsidR="006979F4">
        <w:t>rally, the physical vehicle is p</w:t>
      </w:r>
      <w:r>
        <w:t>henomenal like that of other men. Bah</w:t>
      </w:r>
      <w:r w:rsidR="006979F4">
        <w:t>á’í teaching also holds to the “</w:t>
      </w:r>
      <w:r>
        <w:t>essential sinlessness</w:t>
      </w:r>
      <w:r w:rsidR="006979F4">
        <w:t>”</w:t>
      </w:r>
      <w:r>
        <w:t xml:space="preserve"> of the Divine Manifestation, whereas Ari</w:t>
      </w:r>
      <w:r w:rsidR="006979F4">
        <w:t>u</w:t>
      </w:r>
      <w:r>
        <w:t xml:space="preserve">s indicated that Christ was liable not to </w:t>
      </w:r>
      <w:r w:rsidR="006979F4">
        <w:t>c</w:t>
      </w:r>
      <w:r>
        <w:t>hange a</w:t>
      </w:r>
      <w:r w:rsidR="006979F4">
        <w:t>lone</w:t>
      </w:r>
      <w:r>
        <w:t xml:space="preserve"> but also to sin.</w:t>
      </w:r>
      <w:r w:rsidR="00F63228" w:rsidRPr="00F63228">
        <w:rPr>
          <w:rStyle w:val="FootnoteReference"/>
          <w:b/>
        </w:rPr>
        <w:footnoteReference w:id="73"/>
      </w:r>
      <w:r>
        <w:t xml:space="preserve"> </w:t>
      </w:r>
    </w:p>
    <w:p w14:paraId="141EF279" w14:textId="77777777" w:rsidR="00544629" w:rsidRDefault="00544629" w:rsidP="00F013EB">
      <w:pPr>
        <w:pStyle w:val="NormalWeb"/>
        <w:spacing w:before="120" w:beforeAutospacing="0" w:after="120" w:afterAutospacing="0" w:line="300" w:lineRule="auto"/>
        <w:ind w:firstLine="720"/>
      </w:pPr>
      <w:r>
        <w:t>The three major councils of the church</w:t>
      </w:r>
      <w:r w:rsidR="00EE13F7">
        <w:t>-</w:t>
      </w:r>
      <w:r>
        <w:t>Nicaea, Constantinople, and Chalced</w:t>
      </w:r>
      <w:r w:rsidR="006979F4">
        <w:t>on</w:t>
      </w:r>
      <w:r w:rsidR="00EE13F7">
        <w:t>-</w:t>
      </w:r>
      <w:r>
        <w:t>that evolved successively the deification</w:t>
      </w:r>
      <w:r w:rsidR="006979F4">
        <w:t>,</w:t>
      </w:r>
      <w:r>
        <w:t xml:space="preserve"> </w:t>
      </w:r>
      <w:r w:rsidR="00693171">
        <w:t>Trinitarian</w:t>
      </w:r>
      <w:r>
        <w:t xml:space="preserve">, and incarnation </w:t>
      </w:r>
      <w:r w:rsidR="006979F4">
        <w:t xml:space="preserve">aspects of Christian doctrine all have the common and objectionable </w:t>
      </w:r>
      <w:r>
        <w:t xml:space="preserve">feature of compromising the Divine Unity. </w:t>
      </w:r>
      <w:r w:rsidR="0069013A">
        <w:t>The Divine Unity is one of the “</w:t>
      </w:r>
      <w:r>
        <w:t>major beliefs</w:t>
      </w:r>
      <w:r w:rsidR="0069013A">
        <w:t>” of the Bahá’í Faith, “</w:t>
      </w:r>
      <w:r>
        <w:t xml:space="preserve">the integrity of </w:t>
      </w:r>
      <w:r w:rsidR="0069013A">
        <w:t>w</w:t>
      </w:r>
      <w:r>
        <w:t>hich,</w:t>
      </w:r>
      <w:r w:rsidR="0069013A">
        <w:t>”</w:t>
      </w:r>
      <w:r>
        <w:t xml:space="preserve"> Shoghi Effendi states,</w:t>
      </w:r>
      <w:r w:rsidR="0069013A">
        <w:t xml:space="preserve"> “</w:t>
      </w:r>
      <w:r>
        <w:t xml:space="preserve">no one of its followers should allow </w:t>
      </w:r>
      <w:r w:rsidR="0069013A">
        <w:t>to</w:t>
      </w:r>
      <w:r>
        <w:t xml:space="preserve"> be compromised.</w:t>
      </w:r>
      <w:r w:rsidR="0069013A">
        <w:t>”</w:t>
      </w:r>
      <w:r w:rsidR="00EC2757">
        <w:t xml:space="preserve"> </w:t>
      </w:r>
      <w:r w:rsidR="00F6701C" w:rsidRPr="00F6701C">
        <w:rPr>
          <w:rStyle w:val="FootnoteReference"/>
          <w:b/>
        </w:rPr>
        <w:footnoteReference w:id="74"/>
      </w:r>
      <w:r>
        <w:t xml:space="preserve"> All of </w:t>
      </w:r>
      <w:r w:rsidR="0069013A">
        <w:t>these</w:t>
      </w:r>
      <w:r>
        <w:t xml:space="preserve"> </w:t>
      </w:r>
      <w:r w:rsidR="0069013A">
        <w:t>c</w:t>
      </w:r>
      <w:r w:rsidR="00840FCB">
        <w:t>reeds tampered w</w:t>
      </w:r>
      <w:r>
        <w:t>ith the Divine Unity by recasti</w:t>
      </w:r>
      <w:r w:rsidR="00840FCB">
        <w:t>n</w:t>
      </w:r>
      <w:r>
        <w:t>g Ch</w:t>
      </w:r>
      <w:r w:rsidR="00840FCB">
        <w:t>ri</w:t>
      </w:r>
      <w:r>
        <w:t>st</w:t>
      </w:r>
      <w:r w:rsidR="00840FCB">
        <w:t>’s r</w:t>
      </w:r>
      <w:r>
        <w:t>elationship to the Father in its pagan mythological meaning, which was that God ha</w:t>
      </w:r>
      <w:r w:rsidR="00840FCB">
        <w:t>d</w:t>
      </w:r>
      <w:r>
        <w:t xml:space="preserve"> generated of</w:t>
      </w:r>
      <w:r w:rsidR="00840FCB">
        <w:t>f</w:t>
      </w:r>
      <w:r>
        <w:t>sp</w:t>
      </w:r>
      <w:r w:rsidR="00840FCB">
        <w:t>r</w:t>
      </w:r>
      <w:r>
        <w:t>ing</w:t>
      </w:r>
      <w:r w:rsidR="00840FCB">
        <w:t>.</w:t>
      </w:r>
      <w:r>
        <w:t xml:space="preserve"> The wording of the creeds, as well as Cyril’s pantheistic </w:t>
      </w:r>
      <w:r w:rsidRPr="00840FCB">
        <w:rPr>
          <w:i/>
        </w:rPr>
        <w:t>t</w:t>
      </w:r>
      <w:r w:rsidR="00840FCB" w:rsidRPr="00840FCB">
        <w:rPr>
          <w:i/>
        </w:rPr>
        <w:t>h</w:t>
      </w:r>
      <w:r w:rsidRPr="00840FCB">
        <w:rPr>
          <w:i/>
        </w:rPr>
        <w:t>eo</w:t>
      </w:r>
      <w:r w:rsidR="00840FCB" w:rsidRPr="00840FCB">
        <w:rPr>
          <w:i/>
        </w:rPr>
        <w:t>tokos</w:t>
      </w:r>
      <w:r>
        <w:t xml:space="preserve"> (mother of God) clea</w:t>
      </w:r>
      <w:r w:rsidR="00840FCB">
        <w:t>r</w:t>
      </w:r>
      <w:r>
        <w:t>ly indicate this</w:t>
      </w:r>
      <w:r w:rsidR="00840FCB">
        <w:t>.</w:t>
      </w:r>
      <w:r w:rsidR="001B648A" w:rsidRPr="001B648A">
        <w:rPr>
          <w:rStyle w:val="FootnoteReference"/>
          <w:b/>
        </w:rPr>
        <w:footnoteReference w:id="75"/>
      </w:r>
      <w:r>
        <w:t xml:space="preserve"> Bahá</w:t>
      </w:r>
      <w:r w:rsidR="00840FCB">
        <w:t>’u’lláh, however, specifically r</w:t>
      </w:r>
      <w:r>
        <w:t>e</w:t>
      </w:r>
      <w:r w:rsidR="00840FCB">
        <w:t>j</w:t>
      </w:r>
      <w:r>
        <w:t>ects the belief that the Manifestation of God can somehow share in God</w:t>
      </w:r>
      <w:r w:rsidR="00840FCB">
        <w:t>’</w:t>
      </w:r>
      <w:r>
        <w:t xml:space="preserve">s essence as the </w:t>
      </w:r>
      <w:r w:rsidR="00840FCB" w:rsidRPr="00840FCB">
        <w:rPr>
          <w:i/>
        </w:rPr>
        <w:t>homoousisos</w:t>
      </w:r>
      <w:r w:rsidR="00840FCB">
        <w:t xml:space="preserve"> o</w:t>
      </w:r>
      <w:r>
        <w:t>f Nicaea held</w:t>
      </w:r>
      <w:r w:rsidR="00840FCB">
        <w:t>,</w:t>
      </w:r>
      <w:r>
        <w:t xml:space="preserve"> or </w:t>
      </w:r>
      <w:r w:rsidR="00840FCB">
        <w:t>co-inhabit</w:t>
      </w:r>
      <w:r>
        <w:t xml:space="preserve"> the Divine essence in a triune Godhead as the Constant</w:t>
      </w:r>
      <w:r w:rsidR="001D6E7A">
        <w:t>i</w:t>
      </w:r>
      <w:r>
        <w:t xml:space="preserve">nopolitan doctrine of trinity maintained: “If any be set up by His side as peers, if they be regarded as identical with His Person, how can </w:t>
      </w:r>
      <w:r w:rsidR="00217212">
        <w:t>it</w:t>
      </w:r>
      <w:r w:rsidR="000A3134">
        <w:t>,</w:t>
      </w:r>
      <w:r>
        <w:t xml:space="preserve"> then, </w:t>
      </w:r>
      <w:r w:rsidR="000A3134">
        <w:t>b</w:t>
      </w:r>
      <w:r>
        <w:t xml:space="preserve">e maintained that the Divine Being is One and Incomparable, that </w:t>
      </w:r>
      <w:r w:rsidRPr="00217212">
        <w:rPr>
          <w:i/>
        </w:rPr>
        <w:t>Hi</w:t>
      </w:r>
      <w:r w:rsidR="00217212" w:rsidRPr="00217212">
        <w:rPr>
          <w:i/>
        </w:rPr>
        <w:t>s</w:t>
      </w:r>
      <w:r w:rsidRPr="00217212">
        <w:rPr>
          <w:i/>
        </w:rPr>
        <w:t xml:space="preserve"> E</w:t>
      </w:r>
      <w:r w:rsidR="00217212" w:rsidRPr="00217212">
        <w:rPr>
          <w:i/>
        </w:rPr>
        <w:t>ssence</w:t>
      </w:r>
      <w:r w:rsidRPr="00217212">
        <w:rPr>
          <w:i/>
        </w:rPr>
        <w:t xml:space="preserve"> i</w:t>
      </w:r>
      <w:r w:rsidR="00217212" w:rsidRPr="00217212">
        <w:rPr>
          <w:i/>
        </w:rPr>
        <w:t>s</w:t>
      </w:r>
      <w:r w:rsidRPr="00217212">
        <w:rPr>
          <w:i/>
        </w:rPr>
        <w:t xml:space="preserve"> </w:t>
      </w:r>
      <w:r w:rsidR="00217212" w:rsidRPr="00217212">
        <w:rPr>
          <w:i/>
        </w:rPr>
        <w:t>indivisible</w:t>
      </w:r>
      <w:r w:rsidRPr="00217212">
        <w:rPr>
          <w:i/>
        </w:rPr>
        <w:t xml:space="preserve"> and peerle</w:t>
      </w:r>
      <w:r w:rsidR="00217212" w:rsidRPr="00217212">
        <w:rPr>
          <w:i/>
        </w:rPr>
        <w:t>ss</w:t>
      </w:r>
      <w:r>
        <w:t>” (my emphasis)?</w:t>
      </w:r>
      <w:r w:rsidR="00E86609">
        <w:t xml:space="preserve"> </w:t>
      </w:r>
      <w:r w:rsidR="00BD6DF9" w:rsidRPr="00BD6DF9">
        <w:rPr>
          <w:rStyle w:val="FootnoteReference"/>
          <w:b/>
        </w:rPr>
        <w:footnoteReference w:id="76"/>
      </w:r>
      <w:r>
        <w:t xml:space="preserve"> A</w:t>
      </w:r>
      <w:r w:rsidR="00217212">
        <w:t>s</w:t>
      </w:r>
      <w:r>
        <w:t xml:space="preserve"> for the incarnation, first outl</w:t>
      </w:r>
      <w:r w:rsidR="00217212">
        <w:t>in</w:t>
      </w:r>
      <w:r>
        <w:t>ed in Paul</w:t>
      </w:r>
      <w:r w:rsidR="00D44EF3">
        <w:t>’</w:t>
      </w:r>
      <w:r w:rsidR="00217212">
        <w:t>s</w:t>
      </w:r>
      <w:r>
        <w:t xml:space="preserve"> theology and canonized at Chal</w:t>
      </w:r>
      <w:r w:rsidR="00217212">
        <w:t>c</w:t>
      </w:r>
      <w:r>
        <w:t>edon, it has been qualified by Shoghi Effe</w:t>
      </w:r>
      <w:r w:rsidR="00217212">
        <w:t>ndi as a “crude and fantastic” “</w:t>
      </w:r>
      <w:r>
        <w:t>theory.”</w:t>
      </w:r>
      <w:r w:rsidR="007B6F65">
        <w:t xml:space="preserve"> </w:t>
      </w:r>
      <w:r w:rsidR="00BD6DF9" w:rsidRPr="004B054B">
        <w:rPr>
          <w:rStyle w:val="FootnoteReference"/>
          <w:b/>
        </w:rPr>
        <w:footnoteReference w:id="77"/>
      </w:r>
    </w:p>
    <w:p w14:paraId="0248D89D" w14:textId="77777777" w:rsidR="00544629" w:rsidRDefault="00544629" w:rsidP="00F013EB">
      <w:pPr>
        <w:pStyle w:val="NormalWeb"/>
        <w:spacing w:before="120" w:beforeAutospacing="0" w:after="120" w:afterAutospacing="0" w:line="300" w:lineRule="auto"/>
        <w:ind w:firstLine="720"/>
      </w:pPr>
      <w:r>
        <w:t>The question then is raised</w:t>
      </w:r>
      <w:r w:rsidR="00E36119">
        <w:t>.</w:t>
      </w:r>
      <w:r>
        <w:t xml:space="preserve"> If Christ is not all these things, what in the Bahá’í understanding </w:t>
      </w:r>
      <w:r w:rsidR="00E36119">
        <w:t>i</w:t>
      </w:r>
      <w:r>
        <w:t>s He? Only the b</w:t>
      </w:r>
      <w:r w:rsidR="00E36119">
        <w:t>r</w:t>
      </w:r>
      <w:r>
        <w:t xml:space="preserve">iefest outline </w:t>
      </w:r>
      <w:r w:rsidR="00E36119">
        <w:t>c</w:t>
      </w:r>
      <w:r>
        <w:t>an be offered here; but the answer, I believe, is clearly in com</w:t>
      </w:r>
      <w:r w:rsidR="00FE3DFA">
        <w:t>plete harmony both with Gospel t</w:t>
      </w:r>
      <w:r>
        <w:t>eaching and with much Ch</w:t>
      </w:r>
      <w:r w:rsidR="00E36119">
        <w:t>rist</w:t>
      </w:r>
      <w:r>
        <w:t>ian scholarship. Paul</w:t>
      </w:r>
      <w:r w:rsidR="00E36119">
        <w:t>’</w:t>
      </w:r>
      <w:r>
        <w:t>s writings do not constitute divine revelation for a Bahá’í</w:t>
      </w:r>
      <w:r w:rsidR="00E36119">
        <w:t>.</w:t>
      </w:r>
      <w:r>
        <w:t xml:space="preserve"> This, of course, would meet with major o</w:t>
      </w:r>
      <w:r w:rsidR="00E36119">
        <w:t>bj</w:t>
      </w:r>
      <w:r>
        <w:t xml:space="preserve">ections </w:t>
      </w:r>
      <w:r w:rsidR="00E36119">
        <w:t>fr</w:t>
      </w:r>
      <w:r>
        <w:t xml:space="preserve">om Christians who believe that all scripture </w:t>
      </w:r>
      <w:r w:rsidR="00E36119">
        <w:t>i</w:t>
      </w:r>
      <w:r>
        <w:t>s divinely inspi</w:t>
      </w:r>
      <w:r w:rsidR="00E36119">
        <w:t>red</w:t>
      </w:r>
      <w:r>
        <w:t xml:space="preserve"> (2 Tim</w:t>
      </w:r>
      <w:r w:rsidR="00E36119">
        <w:t>.</w:t>
      </w:r>
      <w:r>
        <w:t xml:space="preserve"> 3:16). </w:t>
      </w:r>
    </w:p>
    <w:p w14:paraId="3FAAAB8B" w14:textId="77777777" w:rsidR="00407CC7" w:rsidRDefault="00544629" w:rsidP="00F013EB">
      <w:pPr>
        <w:pStyle w:val="NormalWeb"/>
        <w:spacing w:before="120" w:beforeAutospacing="0" w:after="120" w:afterAutospacing="0" w:line="300" w:lineRule="auto"/>
        <w:ind w:firstLine="720"/>
      </w:pPr>
      <w:r>
        <w:t xml:space="preserve">The Bahá’í writings indicate that each Divine Manifestation </w:t>
      </w:r>
      <w:r w:rsidR="00E36119">
        <w:t>is</w:t>
      </w:r>
      <w:r>
        <w:t xml:space="preserve"> </w:t>
      </w:r>
      <w:r w:rsidR="00E36119">
        <w:t>“</w:t>
      </w:r>
      <w:r>
        <w:t>known by a</w:t>
      </w:r>
      <w:r w:rsidR="00E36119">
        <w:t xml:space="preserve"> different name” and “</w:t>
      </w:r>
      <w:r>
        <w:t xml:space="preserve">fulfills </w:t>
      </w:r>
      <w:r w:rsidR="00E36119">
        <w:t xml:space="preserve">a </w:t>
      </w:r>
      <w:r>
        <w:t>definite mission.</w:t>
      </w:r>
      <w:r w:rsidR="00E36119">
        <w:t>”</w:t>
      </w:r>
      <w:r w:rsidR="00BF649C">
        <w:t xml:space="preserve"> </w:t>
      </w:r>
      <w:r w:rsidR="00120850" w:rsidRPr="00120850">
        <w:rPr>
          <w:rStyle w:val="FootnoteReference"/>
          <w:b/>
        </w:rPr>
        <w:footnoteReference w:id="78"/>
      </w:r>
      <w:r w:rsidR="00E36119">
        <w:t xml:space="preserve"> Bahá’í</w:t>
      </w:r>
      <w:r>
        <w:t xml:space="preserve"> recognition of Chr</w:t>
      </w:r>
      <w:r w:rsidR="00E36119">
        <w:t>ist’</w:t>
      </w:r>
      <w:r>
        <w:t xml:space="preserve">s </w:t>
      </w:r>
      <w:r w:rsidR="00E36119">
        <w:t xml:space="preserve">sonship would apply </w:t>
      </w:r>
      <w:r w:rsidR="00E36119">
        <w:lastRenderedPageBreak/>
        <w:t>equally to “</w:t>
      </w:r>
      <w:r>
        <w:t>Son of Man,</w:t>
      </w:r>
      <w:r w:rsidR="00E36119">
        <w:t>”</w:t>
      </w:r>
      <w:r>
        <w:t xml:space="preserve"> the more common of the titles used by Ch</w:t>
      </w:r>
      <w:r w:rsidR="00E36119">
        <w:t>rist</w:t>
      </w:r>
      <w:r>
        <w:t xml:space="preserve">, and </w:t>
      </w:r>
      <w:r w:rsidR="00E36119">
        <w:t>to the term “</w:t>
      </w:r>
      <w:r>
        <w:t>Son of God.</w:t>
      </w:r>
      <w:r w:rsidR="00E36119">
        <w:t>”</w:t>
      </w:r>
      <w:r>
        <w:t xml:space="preserve"> As </w:t>
      </w:r>
      <w:r w:rsidR="00E36119">
        <w:t>I</w:t>
      </w:r>
      <w:r>
        <w:t xml:space="preserve"> pointed out ea</w:t>
      </w:r>
      <w:r w:rsidR="00E36119">
        <w:t>r</w:t>
      </w:r>
      <w:r>
        <w:t>lie</w:t>
      </w:r>
      <w:r w:rsidR="00E36119">
        <w:t>r, Christ is “</w:t>
      </w:r>
      <w:r>
        <w:t>Son of God</w:t>
      </w:r>
      <w:r w:rsidR="00E36119">
        <w:t>” not i</w:t>
      </w:r>
      <w:r>
        <w:t>n any mythological sense as in a sha</w:t>
      </w:r>
      <w:r w:rsidR="00E36119">
        <w:t>r</w:t>
      </w:r>
      <w:r>
        <w:t>ing of God</w:t>
      </w:r>
      <w:r w:rsidR="00E36119">
        <w:t>’</w:t>
      </w:r>
      <w:r>
        <w:t>s divine essence but in terms of His messiahship or spiritual kingship. Christians have fastened almost exclusively upon the mythological meaning of the te</w:t>
      </w:r>
      <w:r w:rsidR="00E36119">
        <w:t>r</w:t>
      </w:r>
      <w:r>
        <w:t xml:space="preserve">m, that Christ </w:t>
      </w:r>
      <w:r w:rsidR="00E36119">
        <w:t>is</w:t>
      </w:r>
      <w:r>
        <w:t xml:space="preserve"> God’s offspring, and have ignored the counterpart implied in the term, that the “Son</w:t>
      </w:r>
      <w:r w:rsidR="00E36119">
        <w:t>” is one w</w:t>
      </w:r>
      <w:r>
        <w:t>ho above all shows obedience and humility to the Fathe</w:t>
      </w:r>
      <w:r w:rsidR="00407CC7">
        <w:t>r</w:t>
      </w:r>
      <w:r>
        <w:t>—that is, the “Son” does the Father</w:t>
      </w:r>
      <w:r w:rsidR="00407CC7">
        <w:t>’</w:t>
      </w:r>
      <w:r>
        <w:t>s will. The term “Son of Man</w:t>
      </w:r>
      <w:r w:rsidR="00407CC7">
        <w:t>”</w:t>
      </w:r>
      <w:r>
        <w:t xml:space="preserve"> contains paradoxical asse</w:t>
      </w:r>
      <w:r w:rsidR="00407CC7">
        <w:t>rtions</w:t>
      </w:r>
      <w:r>
        <w:t xml:space="preserve"> th</w:t>
      </w:r>
      <w:r w:rsidR="00407CC7">
        <w:t>at</w:t>
      </w:r>
      <w:r>
        <w:t xml:space="preserve"> the Ch</w:t>
      </w:r>
      <w:r w:rsidR="00407CC7">
        <w:t>r</w:t>
      </w:r>
      <w:r>
        <w:t>is</w:t>
      </w:r>
      <w:r w:rsidR="00407CC7">
        <w:t>t</w:t>
      </w:r>
      <w:r>
        <w:t xml:space="preserve"> figure would achieve the redemption of mankind by suf</w:t>
      </w:r>
      <w:r w:rsidR="00407CC7">
        <w:t>f</w:t>
      </w:r>
      <w:r>
        <w:t>ering a humiliating death and yet at the same time indicates a cosmological figu</w:t>
      </w:r>
      <w:r w:rsidR="00407CC7">
        <w:t>r</w:t>
      </w:r>
      <w:r>
        <w:t>e of paramount impo</w:t>
      </w:r>
      <w:r w:rsidR="00407CC7">
        <w:t>rt</w:t>
      </w:r>
      <w:r>
        <w:t>ance who would usher in a spiritual kingdom promised from the beginning of the world</w:t>
      </w:r>
      <w:r w:rsidR="00407CC7">
        <w:t>.</w:t>
      </w:r>
      <w:r w:rsidR="00ED1CE3" w:rsidRPr="000F5896">
        <w:rPr>
          <w:rStyle w:val="FootnoteReference"/>
          <w:b/>
        </w:rPr>
        <w:footnoteReference w:id="79"/>
      </w:r>
      <w:r w:rsidRPr="00407CC7">
        <w:rPr>
          <w:b/>
          <w:vertAlign w:val="superscript"/>
        </w:rPr>
        <w:t xml:space="preserve"> </w:t>
      </w:r>
      <w:r w:rsidR="009710A1">
        <w:rPr>
          <w:b/>
          <w:vertAlign w:val="superscript"/>
        </w:rPr>
        <w:t xml:space="preserve"> </w:t>
      </w:r>
      <w:r>
        <w:t>The Bahá’í writings are in ha</w:t>
      </w:r>
      <w:r w:rsidR="00407CC7">
        <w:t>r</w:t>
      </w:r>
      <w:r>
        <w:t xml:space="preserve">mony with these views since they recognize </w:t>
      </w:r>
      <w:r w:rsidR="00407CC7">
        <w:t>the sacrificial death of Jesus “</w:t>
      </w:r>
      <w:r>
        <w:t>as a ransom for the sins and iniqu</w:t>
      </w:r>
      <w:r w:rsidR="00407CC7">
        <w:t>ities</w:t>
      </w:r>
      <w:r>
        <w:t xml:space="preserve"> of all of the </w:t>
      </w:r>
      <w:r w:rsidR="00407CC7">
        <w:t>peoples of the earth” and His having ushered in a spiritual kingdom.</w:t>
      </w:r>
      <w:r w:rsidR="00746270" w:rsidRPr="00746270">
        <w:rPr>
          <w:rStyle w:val="FootnoteReference"/>
          <w:b/>
        </w:rPr>
        <w:footnoteReference w:id="80"/>
      </w:r>
    </w:p>
    <w:p w14:paraId="1183C94B" w14:textId="77777777" w:rsidR="00544629" w:rsidRDefault="00544629" w:rsidP="00F013EB">
      <w:pPr>
        <w:pStyle w:val="NormalWeb"/>
        <w:spacing w:before="120" w:beforeAutospacing="0" w:after="120" w:afterAutospacing="0" w:line="300" w:lineRule="auto"/>
        <w:ind w:firstLine="720"/>
      </w:pPr>
      <w:r>
        <w:t>The later Christian obsession with Christ as God, due mainly to the theology of Paul and the councils, is belied by t</w:t>
      </w:r>
      <w:r w:rsidR="004865A6">
        <w:t>he New Testament itself, which r</w:t>
      </w:r>
      <w:r>
        <w:t xml:space="preserve">eveals a variety of </w:t>
      </w:r>
      <w:r w:rsidR="009B6F20">
        <w:t xml:space="preserve">Christological </w:t>
      </w:r>
      <w:r w:rsidR="004865A6">
        <w:t>titles</w:t>
      </w:r>
      <w:r>
        <w:t xml:space="preserve">. The </w:t>
      </w:r>
      <w:r w:rsidR="004865A6">
        <w:t>Chr</w:t>
      </w:r>
      <w:r>
        <w:t>ist figure of the New Testament, notwithstanding the</w:t>
      </w:r>
      <w:r w:rsidR="004865A6">
        <w:t xml:space="preserve"> preeminence of the title of son</w:t>
      </w:r>
      <w:r>
        <w:t>sh</w:t>
      </w:r>
      <w:r w:rsidR="004865A6">
        <w:t xml:space="preserve">ip, is depicted as a mosaic of </w:t>
      </w:r>
      <w:r w:rsidR="009B6F20">
        <w:t>Christological</w:t>
      </w:r>
      <w:r w:rsidR="007A16B0">
        <w:t xml:space="preserve"> </w:t>
      </w:r>
      <w:r>
        <w:t>ima</w:t>
      </w:r>
      <w:r w:rsidR="004865A6">
        <w:t>ges, each with its own history r</w:t>
      </w:r>
      <w:r>
        <w:t>ooted in a different tradition. For early Christians Christ was the True Prophet, the Suffering Servant of Deutero</w:t>
      </w:r>
      <w:r w:rsidR="004865A6">
        <w:t>-</w:t>
      </w:r>
      <w:r>
        <w:t>Isaia</w:t>
      </w:r>
      <w:r w:rsidR="004865A6">
        <w:t>h</w:t>
      </w:r>
      <w:r>
        <w:t xml:space="preserve"> (Heb. </w:t>
      </w:r>
      <w:r w:rsidRPr="004865A6">
        <w:rPr>
          <w:i/>
        </w:rPr>
        <w:t>ebe</w:t>
      </w:r>
      <w:r w:rsidR="004865A6" w:rsidRPr="004865A6">
        <w:rPr>
          <w:i/>
        </w:rPr>
        <w:t>d</w:t>
      </w:r>
      <w:r>
        <w:t xml:space="preserve"> </w:t>
      </w:r>
      <w:r w:rsidRPr="004865A6">
        <w:rPr>
          <w:i/>
        </w:rPr>
        <w:t>Yahweh</w:t>
      </w:r>
      <w:r>
        <w:t xml:space="preserve"> ‘the Righteous One</w:t>
      </w:r>
      <w:r w:rsidR="004865A6">
        <w:t>’</w:t>
      </w:r>
      <w:r>
        <w:t xml:space="preserve">). There are also traditions of Jesus as the High Priest, Jesus as Lord, and so </w:t>
      </w:r>
      <w:r w:rsidR="004865A6">
        <w:t>on.</w:t>
      </w:r>
      <w:r w:rsidR="00C81910" w:rsidRPr="00A71B8F">
        <w:rPr>
          <w:rStyle w:val="FootnoteReference"/>
          <w:b/>
        </w:rPr>
        <w:footnoteReference w:id="81"/>
      </w:r>
      <w:r>
        <w:t xml:space="preserve"> Such a mosaic is consistent with Bahá’u’lláh</w:t>
      </w:r>
      <w:r w:rsidR="004865A6">
        <w:t>’</w:t>
      </w:r>
      <w:r>
        <w:t>s explanation that the prophetic figure reveals a wide range of spiritual attributes, from the state of servitude at one end of the scale, “a servitude the like of which no man can possibly attain,</w:t>
      </w:r>
      <w:r w:rsidR="004865A6">
        <w:t>”</w:t>
      </w:r>
      <w:r>
        <w:t xml:space="preserve"> and covering successively </w:t>
      </w:r>
      <w:r w:rsidR="004865A6">
        <w:t>th</w:t>
      </w:r>
      <w:r>
        <w:t>e stages of Apostleship, Guardiansh</w:t>
      </w:r>
      <w:r w:rsidR="002642B0">
        <w:t>i</w:t>
      </w:r>
      <w:r>
        <w:t>p, Messenge</w:t>
      </w:r>
      <w:r w:rsidR="002642B0">
        <w:t>r</w:t>
      </w:r>
      <w:r>
        <w:t>ship, Prophethood, Lordship, re</w:t>
      </w:r>
      <w:r w:rsidR="002642B0">
        <w:t>aching ultimately to Divinity, “</w:t>
      </w:r>
      <w:r>
        <w:t>the Call of God Himself</w:t>
      </w:r>
      <w:r w:rsidR="002642B0">
        <w:t>.”</w:t>
      </w:r>
      <w:r>
        <w:t xml:space="preserve"> </w:t>
      </w:r>
      <w:r w:rsidR="00E63107" w:rsidRPr="00E63107">
        <w:rPr>
          <w:rStyle w:val="FootnoteReference"/>
          <w:b/>
        </w:rPr>
        <w:footnoteReference w:id="82"/>
      </w:r>
    </w:p>
    <w:p w14:paraId="07CE0BE8" w14:textId="77777777" w:rsidR="00544629" w:rsidRDefault="00544629" w:rsidP="00F013EB">
      <w:pPr>
        <w:pStyle w:val="NormalWeb"/>
        <w:spacing w:before="120" w:beforeAutospacing="0" w:after="120" w:afterAutospacing="0" w:line="300" w:lineRule="auto"/>
        <w:ind w:firstLine="720"/>
      </w:pPr>
      <w:r>
        <w:t xml:space="preserve">In addition </w:t>
      </w:r>
      <w:r w:rsidR="002642B0">
        <w:t>to</w:t>
      </w:r>
      <w:r>
        <w:t xml:space="preserve"> this prophetic mission, Bahá’í teaching poi</w:t>
      </w:r>
      <w:r w:rsidR="002642B0">
        <w:t>nt</w:t>
      </w:r>
      <w:r>
        <w:t>s to the preexis</w:t>
      </w:r>
      <w:r w:rsidR="009076CE">
        <w:t>t</w:t>
      </w:r>
      <w:r>
        <w:t xml:space="preserve">ent </w:t>
      </w:r>
      <w:r w:rsidR="002642B0">
        <w:t>or metaphysical r</w:t>
      </w:r>
      <w:r>
        <w:t>eality of Christ. Howeve</w:t>
      </w:r>
      <w:r w:rsidR="002642B0">
        <w:t>r</w:t>
      </w:r>
      <w:r>
        <w:t>, rather th</w:t>
      </w:r>
      <w:r w:rsidR="002642B0">
        <w:t>a</w:t>
      </w:r>
      <w:r>
        <w:t>n restricting this preexistent reality to Jesus alone, Bahá’í scripture attributes it to all of the Founders of the world’s great religions. This is the reality of the Divine Word (Logos) or Divine Manifestation: “Therefo</w:t>
      </w:r>
      <w:r w:rsidR="002642B0">
        <w:t xml:space="preserve">re the reality of </w:t>
      </w:r>
      <w:r w:rsidR="002642B0">
        <w:lastRenderedPageBreak/>
        <w:t>prophethood, w</w:t>
      </w:r>
      <w:r>
        <w:t>hich is the Word of God and the perfect state of manifestation, did not have any beginning,</w:t>
      </w:r>
      <w:r w:rsidR="002642B0">
        <w:t xml:space="preserve"> and will not have any end. . .”</w:t>
      </w:r>
      <w:r w:rsidR="00D716FD">
        <w:t xml:space="preserve"> </w:t>
      </w:r>
      <w:r w:rsidR="00BD1DD6" w:rsidRPr="00BD1DD6">
        <w:rPr>
          <w:rStyle w:val="FootnoteReference"/>
          <w:b/>
        </w:rPr>
        <w:footnoteReference w:id="83"/>
      </w:r>
      <w:r>
        <w:t xml:space="preserve"> Not only does Bahá’í teaching accord with the pre-existence of the Word as stated in the prologue to S</w:t>
      </w:r>
      <w:r w:rsidR="002642B0">
        <w:t>t.</w:t>
      </w:r>
      <w:r>
        <w:t xml:space="preserve"> John</w:t>
      </w:r>
      <w:r w:rsidR="002642B0">
        <w:t>’</w:t>
      </w:r>
      <w:r>
        <w:t xml:space="preserve">s Gospel (John </w:t>
      </w:r>
      <w:r w:rsidR="002642B0">
        <w:t>1</w:t>
      </w:r>
      <w:r>
        <w:t>), but also Christian scholarship has interpreted the passage to mean that the Logos means God</w:t>
      </w:r>
      <w:r w:rsidR="002642B0">
        <w:t>’</w:t>
      </w:r>
      <w:r>
        <w:t>s self-revelation, a view that coincides perfectly with Bahá’í teaching.</w:t>
      </w:r>
      <w:r w:rsidR="00BD1DD6" w:rsidRPr="00BD1DD6">
        <w:rPr>
          <w:rStyle w:val="FootnoteReference"/>
          <w:b/>
        </w:rPr>
        <w:footnoteReference w:id="84"/>
      </w:r>
    </w:p>
    <w:p w14:paraId="06AB659A" w14:textId="77777777" w:rsidR="00AF583F" w:rsidRPr="00AF583F" w:rsidRDefault="00544629" w:rsidP="00F013EB">
      <w:pPr>
        <w:pStyle w:val="NormalWeb"/>
        <w:spacing w:before="120" w:beforeAutospacing="0" w:after="120" w:afterAutospacing="0" w:line="300" w:lineRule="auto"/>
        <w:ind w:firstLine="720"/>
      </w:pPr>
      <w:r>
        <w:t>Furthe</w:t>
      </w:r>
      <w:r w:rsidR="002642B0">
        <w:t>r</w:t>
      </w:r>
      <w:r>
        <w:t xml:space="preserve">, the </w:t>
      </w:r>
      <w:r w:rsidR="009076CE">
        <w:t>Hellenistic</w:t>
      </w:r>
      <w:r>
        <w:t xml:space="preserve"> n</w:t>
      </w:r>
      <w:r w:rsidR="002642B0">
        <w:t>o</w:t>
      </w:r>
      <w:r>
        <w:t>tions of the term, which are implicit in John’s usage, are also pertinent to the comparative aspects of the two religions</w:t>
      </w:r>
      <w:r w:rsidR="002642B0">
        <w:t>.</w:t>
      </w:r>
      <w:r>
        <w:t xml:space="preserve"> For the p</w:t>
      </w:r>
      <w:r w:rsidR="002642B0">
        <w:t>r</w:t>
      </w:r>
      <w:r>
        <w:t>e</w:t>
      </w:r>
      <w:r w:rsidR="002642B0">
        <w:t>-</w:t>
      </w:r>
      <w:r>
        <w:t>Soc</w:t>
      </w:r>
      <w:r w:rsidR="002642B0">
        <w:t>ratics</w:t>
      </w:r>
      <w:r>
        <w:t xml:space="preserve"> and the Stoics as well as the Jewish philosopher, Philo of Alexandria, the Logos was an intermediary between </w:t>
      </w:r>
      <w:r w:rsidRPr="00F710AE">
        <w:t>God and man</w:t>
      </w:r>
      <w:r w:rsidR="002642B0">
        <w:t>.</w:t>
      </w:r>
      <w:r w:rsidR="008E1736">
        <w:t xml:space="preserve"> </w:t>
      </w:r>
      <w:r w:rsidR="00AF583F" w:rsidRPr="00AF583F">
        <w:t>As we have already seen, St. Paul depicts the very act of creation as being ascribed to the Logos, that is, to the Christ as the Word of God. (Col. 1:16). While God in Baha'i teaching is clearly the Creator,</w:t>
      </w:r>
      <w:r w:rsidR="00AF583F" w:rsidRPr="00AF583F">
        <w:rPr>
          <w:rStyle w:val="FootnoteReference"/>
          <w:b/>
        </w:rPr>
        <w:t xml:space="preserve"> </w:t>
      </w:r>
      <w:r w:rsidR="00AF583F" w:rsidRPr="00061406">
        <w:rPr>
          <w:rStyle w:val="FootnoteReference"/>
          <w:b/>
        </w:rPr>
        <w:footnoteReference w:id="85"/>
      </w:r>
      <w:r w:rsidR="00AF583F" w:rsidRPr="00AF583F">
        <w:t xml:space="preserve"> we find here a perfect parallel to the Judeo-Christian doctrine of the Logos as God</w:t>
      </w:r>
      <w:r w:rsidR="00AF583F">
        <w:t>’</w:t>
      </w:r>
      <w:r w:rsidR="00AF583F" w:rsidRPr="00AF583F">
        <w:t>s agent of creation. F</w:t>
      </w:r>
      <w:r w:rsidR="00A00837">
        <w:t>or Bahá'u'lláh also declares:  “</w:t>
      </w:r>
      <w:r w:rsidR="00AF583F" w:rsidRPr="00AF583F">
        <w:t>Verily, the Word of God is the Cause which hath preceded the contingent world</w:t>
      </w:r>
      <w:r w:rsidR="00945DBE">
        <w:t xml:space="preserve"> </w:t>
      </w:r>
      <w:r w:rsidR="00AF583F">
        <w:t>-</w:t>
      </w:r>
      <w:r w:rsidR="00AF583F" w:rsidRPr="00AF583F">
        <w:t xml:space="preserve"> a world which is adorned with the splendours of the Ancient of Days, yet is being renewed and regenerated at all times. Immeasurably exalted is the God of Wisdom who hath raised this sublime structure.</w:t>
      </w:r>
      <w:r w:rsidR="00A00837">
        <w:t xml:space="preserve">” </w:t>
      </w:r>
      <w:r w:rsidR="00A00837" w:rsidRPr="00A00837">
        <w:rPr>
          <w:rStyle w:val="FootnoteReference"/>
          <w:b/>
        </w:rPr>
        <w:footnoteReference w:id="86"/>
      </w:r>
    </w:p>
    <w:p w14:paraId="78657FC3" w14:textId="77777777" w:rsidR="00945DBE" w:rsidRPr="00AF583F" w:rsidRDefault="00945DBE" w:rsidP="00F013EB">
      <w:pPr>
        <w:spacing w:before="120" w:after="120" w:line="300" w:lineRule="auto"/>
        <w:rPr>
          <w:rFonts w:ascii="Times New Roman" w:eastAsia="Times New Roman" w:hAnsi="Times New Roman" w:cs="Times New Roman"/>
          <w:sz w:val="24"/>
          <w:szCs w:val="24"/>
        </w:rPr>
      </w:pPr>
    </w:p>
    <w:p w14:paraId="68E34C3B" w14:textId="77777777" w:rsidR="00061406" w:rsidRDefault="00061406" w:rsidP="00F013EB">
      <w:pPr>
        <w:pStyle w:val="NormalWeb"/>
        <w:spacing w:before="120" w:beforeAutospacing="0" w:after="120" w:afterAutospacing="0" w:line="300" w:lineRule="auto"/>
      </w:pPr>
    </w:p>
    <w:p w14:paraId="72F05EF4" w14:textId="77777777" w:rsidR="00061406" w:rsidRDefault="00061406" w:rsidP="00F013EB">
      <w:pPr>
        <w:pStyle w:val="NormalWeb"/>
        <w:spacing w:before="120" w:beforeAutospacing="0" w:after="120" w:afterAutospacing="0" w:line="300" w:lineRule="auto"/>
      </w:pPr>
    </w:p>
    <w:p w14:paraId="0A77A996" w14:textId="77777777" w:rsidR="00061406" w:rsidRDefault="00061406" w:rsidP="00F013EB">
      <w:pPr>
        <w:pStyle w:val="NormalWeb"/>
        <w:spacing w:before="120" w:beforeAutospacing="0" w:after="120" w:afterAutospacing="0" w:line="300" w:lineRule="auto"/>
      </w:pPr>
    </w:p>
    <w:p w14:paraId="2BB1852F" w14:textId="77777777" w:rsidR="00061406" w:rsidRDefault="00061406" w:rsidP="00F013EB">
      <w:pPr>
        <w:pStyle w:val="NormalWeb"/>
        <w:spacing w:before="120" w:beforeAutospacing="0" w:after="120" w:afterAutospacing="0" w:line="300" w:lineRule="auto"/>
      </w:pPr>
    </w:p>
    <w:p w14:paraId="544F1D90" w14:textId="77777777" w:rsidR="00F710AE" w:rsidRDefault="00F710AE" w:rsidP="00F013EB">
      <w:pPr>
        <w:pStyle w:val="NormalWeb"/>
        <w:spacing w:before="120" w:beforeAutospacing="0" w:after="120" w:afterAutospacing="0" w:line="300" w:lineRule="auto"/>
      </w:pPr>
    </w:p>
    <w:sectPr w:rsidR="00F710AE" w:rsidSect="00256AF6">
      <w:footerReference w:type="default" r:id="rId9"/>
      <w:pgSz w:w="12240" w:h="15840"/>
      <w:pgMar w:top="1296"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1C60B" w14:textId="77777777" w:rsidR="004B5E13" w:rsidRDefault="004B5E13" w:rsidP="007A7F50">
      <w:pPr>
        <w:spacing w:after="0" w:line="240" w:lineRule="auto"/>
        <w:rPr>
          <w:rFonts w:hint="eastAsia"/>
        </w:rPr>
      </w:pPr>
      <w:r>
        <w:separator/>
      </w:r>
    </w:p>
  </w:endnote>
  <w:endnote w:type="continuationSeparator" w:id="0">
    <w:p w14:paraId="5A2C4797" w14:textId="77777777" w:rsidR="004B5E13" w:rsidRDefault="004B5E13" w:rsidP="007A7F5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70371"/>
      <w:docPartObj>
        <w:docPartGallery w:val="Page Numbers (Bottom of Page)"/>
        <w:docPartUnique/>
      </w:docPartObj>
    </w:sdtPr>
    <w:sdtContent>
      <w:p w14:paraId="3554E14C" w14:textId="77777777" w:rsidR="004B5E13" w:rsidRDefault="004B5E13">
        <w:pPr>
          <w:pStyle w:val="Footer"/>
          <w:jc w:val="center"/>
          <w:rPr>
            <w:rFonts w:hint="eastAsia"/>
          </w:rPr>
        </w:pPr>
        <w:r>
          <w:fldChar w:fldCharType="begin"/>
        </w:r>
        <w:r>
          <w:instrText xml:space="preserve"> PAGE   \* MERGEFORMAT </w:instrText>
        </w:r>
        <w:r>
          <w:fldChar w:fldCharType="separate"/>
        </w:r>
        <w:r w:rsidR="001A0A72">
          <w:rPr>
            <w:rFonts w:hint="eastAsia"/>
            <w:noProof/>
          </w:rPr>
          <w:t>1</w:t>
        </w:r>
        <w:r>
          <w:rPr>
            <w:noProof/>
          </w:rPr>
          <w:fldChar w:fldCharType="end"/>
        </w:r>
      </w:p>
    </w:sdtContent>
  </w:sdt>
  <w:p w14:paraId="1453F0DC" w14:textId="77777777" w:rsidR="004B5E13" w:rsidRDefault="004B5E13">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DEDB5" w14:textId="77777777" w:rsidR="004B5E13" w:rsidRDefault="004B5E13" w:rsidP="007A7F50">
      <w:pPr>
        <w:spacing w:after="0" w:line="240" w:lineRule="auto"/>
        <w:rPr>
          <w:rFonts w:hint="eastAsia"/>
        </w:rPr>
      </w:pPr>
      <w:r>
        <w:separator/>
      </w:r>
    </w:p>
  </w:footnote>
  <w:footnote w:type="continuationSeparator" w:id="0">
    <w:p w14:paraId="15D44746" w14:textId="77777777" w:rsidR="004B5E13" w:rsidRDefault="004B5E13" w:rsidP="007A7F50">
      <w:pPr>
        <w:spacing w:after="0" w:line="240" w:lineRule="auto"/>
        <w:rPr>
          <w:rFonts w:hint="eastAsia"/>
        </w:rPr>
      </w:pPr>
      <w:r>
        <w:continuationSeparator/>
      </w:r>
    </w:p>
  </w:footnote>
  <w:footnote w:id="1">
    <w:p w14:paraId="021BDDF9"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t xml:space="preserve"> This section was written before the discussion that has emerged in </w:t>
      </w:r>
      <w:r w:rsidRPr="00E529DE">
        <w:rPr>
          <w:i/>
        </w:rPr>
        <w:t>World Older</w:t>
      </w:r>
      <w:r w:rsidRPr="00E529DE">
        <w:t xml:space="preserve"> on the role of St. Paul in the early church. (See “A Forum: Concerning St. Paul,” </w:t>
      </w:r>
      <w:r w:rsidRPr="00E529DE">
        <w:rPr>
          <w:i/>
        </w:rPr>
        <w:t>World Order</w:t>
      </w:r>
      <w:r w:rsidRPr="00E529DE">
        <w:t xml:space="preserve">, 13, No. 4 [Summer 1979], 5-12; letter from Juan Ricardo Cole, </w:t>
      </w:r>
      <w:r w:rsidRPr="00E529DE">
        <w:rPr>
          <w:i/>
        </w:rPr>
        <w:t>World Order</w:t>
      </w:r>
      <w:r w:rsidRPr="00E529DE">
        <w:t xml:space="preserve">, 13, No. 2 [Winter 1978-79], 7-8; and book review by William S. Hatcher, “The Quest for the Metaphysical Jesus,” </w:t>
      </w:r>
      <w:r w:rsidRPr="00E529DE">
        <w:rPr>
          <w:i/>
        </w:rPr>
        <w:t>World Order</w:t>
      </w:r>
      <w:r w:rsidRPr="00E529DE">
        <w:t>, 12, No. 4 [Summer 1978], 35-42.) I have no purpose in promoting or discouraging the view that Paul was either a “usurper” or in some sense the breaker of a Christian covenant. My primary purpose is to elucidate Paul’s special brand of Christology, which contributed in large measure to the fixation of Christ as God. It does touch incidentally on the differences that Paul had with the leaders of the Jerusalem church. That these differences occurred Paul himself admits (Gal.2); they are also set forth in Acts 15 in a differing version. Thus they are a matter of historical record. Aside from that, since both the New Testament and Bahá’í sources are equivocal on the matter, I do not see how anyone can seriously argue from a strictly partisan point of view.</w:t>
      </w:r>
    </w:p>
  </w:footnote>
  <w:footnote w:id="2">
    <w:p w14:paraId="021F3C3A"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 xml:space="preserve">Quoted in John B. Noss, </w:t>
      </w:r>
      <w:r w:rsidRPr="00E529DE">
        <w:rPr>
          <w:i/>
        </w:rPr>
        <w:t>Man’s Religions</w:t>
      </w:r>
      <w:r w:rsidRPr="00E529DE">
        <w:t xml:space="preserve">, 3d ed. (New York: Macmillan, 1963), p. 620. Fully five of the fourteen epistles are not Paul’s according to New Testament textual exegesis (Ephesians, Hebrews I and II, Timothy, and Tirus). Colossians is also questioned. Howard Clark Kee, Franklin W. Young, Karlfried Froelich, </w:t>
      </w:r>
      <w:r w:rsidRPr="00E529DE">
        <w:rPr>
          <w:i/>
        </w:rPr>
        <w:t>Understanding the New Testament</w:t>
      </w:r>
      <w:r w:rsidRPr="00E529DE">
        <w:t>, 2d ed. (Englewood Cliffs, N. J.: Prentice-Hall, 1957), pp. 164-66.</w:t>
      </w:r>
    </w:p>
  </w:footnote>
  <w:footnote w:id="3">
    <w:p w14:paraId="03563B58"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 xml:space="preserve">Udo Schaefer and Huschmand Sabet refer to the following theologians, all of whom have been critical of Paul’s special brand of Christianity: Albert Schweitzer, Hans Joachim Schoeps, Karl-Heinz Deschner, Wilhelm Nestle, E. Meyer Schonfield, Steinheim E. Grimm, These men are not obscure by any means and have made some of most outstanding contributions in the field of theology and comparative religion. See Udo Schaefer, </w:t>
      </w:r>
      <w:r w:rsidRPr="00E529DE">
        <w:rPr>
          <w:i/>
        </w:rPr>
        <w:t>The Light Shineth in Darkness: Five Studies in Revelation after Christ</w:t>
      </w:r>
      <w:r w:rsidRPr="00E529DE">
        <w:t xml:space="preserve">, trans. Héléne Momtaz Neri and Oliver Colburn (Oxford: George Ronald, 1977) and Huschmand Sabet, </w:t>
      </w:r>
      <w:r w:rsidRPr="00E529DE">
        <w:rPr>
          <w:i/>
        </w:rPr>
        <w:t>The Heavens Are Cleft Asunder</w:t>
      </w:r>
      <w:r w:rsidRPr="00E529DE">
        <w:t xml:space="preserve"> (Oxford: George Ronald, 1975). Christopher Buck notes that the following theologians endorse primitive Ebionite Christianity as opposed to the Gentile Christianity of St. Paul: Harris Hirschberg, Shlomo Pines, David Flusser, James Dunn, Cardinal Danielou, and Gilles Quispel. See “A Forum: Concerning St. Paul,” </w:t>
      </w:r>
      <w:r w:rsidRPr="00E529DE">
        <w:rPr>
          <w:i/>
        </w:rPr>
        <w:t>World Oder</w:t>
      </w:r>
      <w:r w:rsidRPr="00E529DE">
        <w:t>, 13, No. 4 (Summer 1979), 9.</w:t>
      </w:r>
    </w:p>
  </w:footnote>
  <w:footnote w:id="4">
    <w:p w14:paraId="1E2F40E9"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 xml:space="preserve">S. G. F, Brandon, “Saint Paul, the Problem Figure of Primitive Christianity,” in </w:t>
      </w:r>
      <w:r w:rsidRPr="00E529DE">
        <w:rPr>
          <w:i/>
        </w:rPr>
        <w:t xml:space="preserve">Religion in Ancient History: Studies in Ideas, Men and Events </w:t>
      </w:r>
      <w:r w:rsidRPr="00E529DE">
        <w:t>(London: George Allen &amp; Unwin Ltd., 1969), pp: 310-23.</w:t>
      </w:r>
    </w:p>
  </w:footnote>
  <w:footnote w:id="5">
    <w:p w14:paraId="15D9E15C"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The point at dispute was the observance of Mosaic law by Gentile converts. Acts 15:29 states that Paul with his party and the Jerusalem church agreed on exhorting Gentile converts to abstain from unchastity, food offered to idols, blood, and strangled animals. In a differing account of the same incident Paul states that he reached no compromise with the Jerusalem elders: “to them we did not yield even for a moment” (Gal. 2:5). Biblical quotations are from the Revised Standard Version.</w:t>
      </w:r>
    </w:p>
  </w:footnote>
  <w:footnote w:id="6">
    <w:p w14:paraId="62A7415A"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t xml:space="preserve"> The complete verse by Peter reads; “Brethren, you know that in the early days God made choice among you, that by my mouth the Gentiles should hear the word of the gospel and believe” (Acts 15:7). Paul claimed that he was converted to Christianity by a vision of the resurrected Christ on the road to Damascus. During this experience, Christ commissioned him to teach the Gentiles. Paul, however, mentions nowhere in his letters that Peter also made the same claim at the Jerusalem Conference, a conference he attended.</w:t>
      </w:r>
    </w:p>
  </w:footnote>
  <w:footnote w:id="7">
    <w:p w14:paraId="4583015C"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Along with the Nazarenes they are the earliest of Jewish Christian communities. The Ebionites were the Jerusalem Christians, brought into the Faith by Christ Himself and the Apostles. Before the destruction of Jerusalem in A.D. 70, they emigrated to the Gentile town of Pella east of the Jordan River, where they survived until the third century (some date their survival to the fifth century). Their Christology, which resembles in some ways Bahá’í prophetology, is discussed later in this section.</w:t>
      </w:r>
    </w:p>
  </w:footnote>
  <w:footnote w:id="8">
    <w:p w14:paraId="4DD7F88B"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t xml:space="preserve"> The phrase is from Paul himself (2 Cor. 11:4). In this chapter Paul speaks of his “divine jealousy” for the Corinthian community. Brandon (</w:t>
      </w:r>
      <w:r w:rsidRPr="00E529DE">
        <w:rPr>
          <w:i/>
        </w:rPr>
        <w:t>Religion in Ancient History</w:t>
      </w:r>
      <w:r w:rsidRPr="00E529DE">
        <w:t>, p. 315) thinks that his warnings to the Corinthians of “another Jesus” and “another gospel” (Gal. 1:6) are veiled references to the Jerusalem apostles, Peter, James, and John, with whom he had fundamental differences.</w:t>
      </w:r>
    </w:p>
  </w:footnote>
  <w:footnote w:id="9">
    <w:p w14:paraId="7166C954" w14:textId="77777777"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During the life of Christ Hellenistic ideas about life after death were in flux. The common people mostly believed in Hades, although it held little promise for a better life. Hope for a blessed life after death developed among the religious sect of Orpheus, who looked for their reward in the Elysian fields of the West. The mysteries also promised a hereafter.</w:t>
      </w:r>
    </w:p>
  </w:footnote>
  <w:footnote w:id="10">
    <w:p w14:paraId="0F469DBF"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Hellenistic-Roman period of Christ’s lifetime was a period of great spiritual curiosity very much like that of today. The mysteries had to compete with various schools of Greek philosophy, Gnosticism, magic, and astrology to quench the people’s spiritual restlessness.</w:t>
      </w:r>
    </w:p>
  </w:footnote>
  <w:footnote w:id="11">
    <w:p w14:paraId="231E502D"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cult of Mithra, the Persian god of light, also mentioned by Shoghi Effendi </w:t>
      </w:r>
      <w:r w:rsidRPr="00E529DE">
        <w:rPr>
          <w:i/>
        </w:rPr>
        <w:t>(The World Order of Bahá’u’lláh: Selected Letters,</w:t>
      </w:r>
      <w:r w:rsidRPr="00E529DE">
        <w:t xml:space="preserve"> 2d rev. ed. [Wilmette, Ill.: Bahá’i Publishing Trust, 1974], p. 184), had an eucharistic style communal meal. The cult of Attis had an animal blood baptism and celebrated the god’s resurrection on 25 Match. The cult of Isis, the Egyptian mother-goddess, used holy water from the Nile and held processions and litanies. The mysteries also used altar- pieces and cult images. One statue of Isis depicts her nursing holy child, not unlike the statues of the Virgin with the baby Jesus.</w:t>
      </w:r>
    </w:p>
  </w:footnote>
  <w:footnote w:id="12">
    <w:p w14:paraId="5CF69321" w14:textId="7650FB33" w:rsidR="004B5E13" w:rsidRPr="00E529DE" w:rsidRDefault="004B5E13" w:rsidP="0076498A">
      <w:pPr>
        <w:pStyle w:val="FootnoteText"/>
        <w:spacing w:before="120" w:after="120" w:line="288" w:lineRule="auto"/>
        <w:rPr>
          <w:rFonts w:hint="eastAsia"/>
        </w:rPr>
      </w:pPr>
      <w:r w:rsidRPr="00E529DE">
        <w:rPr>
          <w:rStyle w:val="FootnoteReference"/>
          <w:b/>
        </w:rPr>
        <w:footnoteRef/>
      </w:r>
      <w:r w:rsidRPr="00E529DE">
        <w:rPr>
          <w:b/>
        </w:rPr>
        <w:t xml:space="preserve"> </w:t>
      </w:r>
      <w:r w:rsidRPr="00E529DE">
        <w:t xml:space="preserve">Oscar Cullmann gives a complete discussion of this </w:t>
      </w:r>
      <w:r>
        <w:t>Christological</w:t>
      </w:r>
      <w:r w:rsidRPr="00E529DE">
        <w:t xml:space="preserve">  title in </w:t>
      </w:r>
      <w:r w:rsidRPr="00E529DE">
        <w:rPr>
          <w:i/>
        </w:rPr>
        <w:t>The Christology of the New Testament</w:t>
      </w:r>
      <w:r w:rsidRPr="00E529DE">
        <w:t>, trans. Shirley C. Guthrie and Charles A. M. Hall (London: SCM Press, 1959), pp. 270-305.</w:t>
      </w:r>
    </w:p>
  </w:footnote>
  <w:footnote w:id="13">
    <w:p w14:paraId="7A774F7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142.</w:t>
      </w:r>
    </w:p>
  </w:footnote>
  <w:footnote w:id="14">
    <w:p w14:paraId="4E2FCF4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Gnosticism is strictly speaking a doctrinal, not a Christological    heresy. Since the movement is mentioned in Bahá’í literature, and since Gnostics had their own, albeit imperfect, understanding of Jesus, 1 have included it as a matter of interest.</w:t>
      </w:r>
    </w:p>
  </w:footnote>
  <w:footnote w:id="15">
    <w:p w14:paraId="1B2FFB9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“The Unfoldment of World Civilization.” </w:t>
      </w:r>
      <w:r w:rsidRPr="00E529DE">
        <w:rPr>
          <w:i/>
        </w:rPr>
        <w:t xml:space="preserve">World Order of Bahá’u’lláh, </w:t>
      </w:r>
      <w:r w:rsidRPr="00E529DE">
        <w:t>p. 184. Gnosticism was one of the more widely spread syncretistic religions in the Hellenistic-Roman period. Its complex origins have been traced to Irán (Manichaeism, Mandaeism), to Syria and Egypt, and to ancient Greece (Orphism, Platonism). Gnosticism was religious philosophy of the nature and destiny of man. As such, it aimed at explaining the origin of evil in the world and man’s deliverance from it. Its conflicting sects proffered contending mythologies by way of explanation. Gnosticism’s conceptual framework paralleled in some ways Judaeo-Christian thought. It contained creation myths, an account of the fall of a primal man, and his redemption through a savior figure. Philosophically, it was markedly dualistic.</w:t>
      </w:r>
    </w:p>
  </w:footnote>
  <w:footnote w:id="16">
    <w:p w14:paraId="1AD28733"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churches at Corinth and Collasae had both been rent by Gnostic heresies. At Corinth a spiritual aristocracy had developed that prided itself on esoteric knowledge. The church at Callasae wanted to amalgamate Christianity with the mystery cults and heterodox Judaism (Col. 2:8-23 and 1 Cor. 18-31; 1 Cor. 2:6-13).</w:t>
      </w:r>
    </w:p>
  </w:footnote>
  <w:footnote w:id="17">
    <w:p w14:paraId="199978BC"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Irenaeus’ best work was titled </w:t>
      </w:r>
      <w:r w:rsidRPr="00E529DE">
        <w:rPr>
          <w:i/>
        </w:rPr>
        <w:t>Refutation and Overthrow of Gnosis Falsely So-Called</w:t>
      </w:r>
      <w:r w:rsidRPr="00E529DE">
        <w:t xml:space="preserve">, more commonly known as </w:t>
      </w:r>
      <w:r w:rsidRPr="00E529DE">
        <w:rPr>
          <w:i/>
        </w:rPr>
        <w:t>Against Heresies</w:t>
      </w:r>
      <w:r w:rsidRPr="00E529DE">
        <w:t xml:space="preserve">. See </w:t>
      </w:r>
      <w:r w:rsidRPr="00E529DE">
        <w:rPr>
          <w:i/>
        </w:rPr>
        <w:t>Ante-Nicene Fathers</w:t>
      </w:r>
      <w:r w:rsidRPr="00E529DE">
        <w:t xml:space="preserve"> (Grand Rapids, Mich.: Eerdmans, n.d.), I, 315-58.</w:t>
      </w:r>
    </w:p>
  </w:footnote>
  <w:footnote w:id="18">
    <w:p w14:paraId="2FB98988"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Simon the Magician was one of the Gnostic cult leaders. He received the condemnation of St. Peter by attempting to buy his spiritual powers from the Apostles (Acts 8:9-25). The Egyptian Basilides and Valentinus of Rome, although closer to orthodox Christianity, founded docetic (Gk. </w:t>
      </w:r>
      <w:r w:rsidRPr="00E529DE">
        <w:rPr>
          <w:i/>
        </w:rPr>
        <w:t>dokesis</w:t>
      </w:r>
      <w:r w:rsidRPr="00E529DE">
        <w:t xml:space="preserve"> ‘illusion’) Gnostic heresies that exalted Christ’s spirituality to the point that they denied His physical reality.</w:t>
      </w:r>
    </w:p>
  </w:footnote>
  <w:footnote w:id="19">
    <w:p w14:paraId="7BDDF9F3"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w:t>
      </w:r>
      <w:r w:rsidRPr="00E529DE">
        <w:rPr>
          <w:i/>
        </w:rPr>
        <w:t>World Order of Bahá’u’lláh</w:t>
      </w:r>
      <w:r w:rsidRPr="00E529DE">
        <w:t>, p. 184.</w:t>
      </w:r>
    </w:p>
  </w:footnote>
  <w:footnote w:id="20">
    <w:p w14:paraId="0DCACD6D"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Later tradition attributes this creed to the Apostles. It was composed not only to combat the Gnostic heresy but was used primarily as a summary statement of questions and answers, requisite knowledge of catechumens prior to their being baptized. Helmer Ringgren and Ake V. Strom, </w:t>
      </w:r>
      <w:r w:rsidRPr="00E529DE">
        <w:rPr>
          <w:i/>
        </w:rPr>
        <w:t>The Religions of Mankind: Today and Yesterday</w:t>
      </w:r>
      <w:r w:rsidRPr="00E529DE">
        <w:t>, ed. J. C. G. Greig, trans. Niels L. Jensen (Philadelphia: Fortress Press, 1967), p. 149.</w:t>
      </w:r>
    </w:p>
  </w:footnote>
  <w:footnote w:id="21">
    <w:p w14:paraId="383782AC"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Gnostics put forth their mythologies in literature of their own. “The Gospel of Truth” and “Book of Baruch” are among their works.</w:t>
      </w:r>
    </w:p>
  </w:footnote>
  <w:footnote w:id="22">
    <w:p w14:paraId="449CE38A"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Monarchianism was a theological controversy arising out of concern for maintaining the “monarchia" or divine unity. It expressed this concern in two movements that were fundamentally different. “Adoptionism” wished to stress the divine unity to the point that it taught that Christ was only an inspired man. Christ was, so to speak, adopted by God’s Spirit. The other movement, “modalism.” stressed Christ’s divinity to the extent that it did not distinguish Him in any way from the Godhead.</w:t>
      </w:r>
    </w:p>
  </w:footnote>
  <w:footnote w:id="23">
    <w:p w14:paraId="51D203EB"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 ‘The Covenant of God shall remain stable and secure’: Recent Tablet to Roy C. Wilhelm,” in </w:t>
      </w:r>
      <w:r w:rsidRPr="00E529DE">
        <w:rPr>
          <w:i/>
        </w:rPr>
        <w:t>Star of the West,</w:t>
      </w:r>
      <w:r w:rsidRPr="00E529DE">
        <w:t xml:space="preserve"> 10 (5 June 1919), 95. In the same passage ‘Abdu’l-Bahá assures Mr. Wilhelm that the Bahá’í covenant will remain inviolate.</w:t>
      </w:r>
    </w:p>
  </w:footnote>
  <w:footnote w:id="24">
    <w:p w14:paraId="00ED1F9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Nicolas Zernov quotes church historian Socrates Scholastic (d. A.D. 450), who said that “from love at controversy” Arius opposed his bishop in the discussion. See </w:t>
      </w:r>
      <w:r w:rsidRPr="00E529DE">
        <w:rPr>
          <w:i/>
        </w:rPr>
        <w:t>Eastern Christendom: A Study of the Origin and Development of the Eastern Orthodox Church</w:t>
      </w:r>
      <w:r w:rsidRPr="00E529DE">
        <w:t xml:space="preserve"> (New York: Putnam’s. 1961), p. 45n.</w:t>
      </w:r>
    </w:p>
  </w:footnote>
  <w:footnote w:id="25">
    <w:p w14:paraId="23E1E02A"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Arius, quoted in J. N. D. Kelly, </w:t>
      </w:r>
      <w:r w:rsidRPr="00E529DE">
        <w:rPr>
          <w:i/>
        </w:rPr>
        <w:t>Early Christian Doctrines</w:t>
      </w:r>
      <w:r w:rsidRPr="00E529DE">
        <w:t xml:space="preserve"> (London: Adam &amp; Charles Black, 1958), p. 228. This passage on Arius’ teaching has been gleaned from pp. 226-31.</w:t>
      </w:r>
    </w:p>
  </w:footnote>
  <w:footnote w:id="26">
    <w:p w14:paraId="2B616BD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Constantine was converted to Christianity by a vision of the cross superimposed on the midday sun. The accompanying message read, “By this sign conquer.” Against all odds and good judgment Constantine made a rapid invasion of Italy and defeated his rival, Maxentius, at the battle of the Milvian Bridge at Rome (A.D. 312).</w:t>
      </w:r>
    </w:p>
  </w:footnote>
  <w:footnote w:id="27">
    <w:p w14:paraId="537338D6"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w:t>
      </w:r>
      <w:r w:rsidRPr="00E529DE">
        <w:rPr>
          <w:i/>
        </w:rPr>
        <w:t>The Secret of Divine Civilization</w:t>
      </w:r>
      <w:r w:rsidRPr="00E529DE">
        <w:t>, trans. Marzieh Gail and Ali-Kuli Khan, 2d ed. (Wilmette, Ill.: Bahá’í Publishing Trust, 1970 ), p. 85. ‘Abdu’l-Bahá’s statement is borne out by the full weight of history. Constantine systematically altered the legislation of the Empire to accord it with Gospel teaching. He punished sexual offenders; no longer penalized celibates; lightened divorce laws; facilitated the liberation of slaves; protected prisoners, widows, and orphans; and gave bishops certain magisterial powers.</w:t>
      </w:r>
    </w:p>
  </w:footnote>
  <w:footnote w:id="28">
    <w:p w14:paraId="0658598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Among these historians are Gibbon, Burckhardt, Schwartz, and Harnack. See Zernov, </w:t>
      </w:r>
      <w:r w:rsidRPr="00E529DE">
        <w:rPr>
          <w:i/>
        </w:rPr>
        <w:t>Eastern Christendom</w:t>
      </w:r>
      <w:r w:rsidRPr="00E529DE">
        <w:t>, p. 39n.</w:t>
      </w:r>
    </w:p>
  </w:footnote>
  <w:footnote w:id="29">
    <w:p w14:paraId="066E46F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John Courtney Murray, S.J., </w:t>
      </w:r>
      <w:r w:rsidRPr="00E529DE">
        <w:rPr>
          <w:i/>
        </w:rPr>
        <w:t>The Problem of God:Yesterday and Today</w:t>
      </w:r>
      <w:r w:rsidRPr="00E529DE">
        <w:t xml:space="preserve"> (New Haven: Yale Univ. Press, 1964), p. 47.</w:t>
      </w:r>
    </w:p>
  </w:footnote>
  <w:footnote w:id="30">
    <w:p w14:paraId="4FA42AF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Oscar Cullmann believes that the most ancient Christological title applied to Jesus was that of the “servant.” Acts 3:26 and 4:30 ascribe its usage to St. Peter, who was greatly impressed by the suffering of his beloved Master. Peter protested when warned by Christ of His impending death (Mark 8:32). Isaiah’s prophecy speaks of the coming servant’s suffering as a propitiatory death:  “when he makes himself an offering for sin” (53:10). </w:t>
      </w:r>
      <w:r w:rsidRPr="00E529DE">
        <w:rPr>
          <w:i/>
        </w:rPr>
        <w:t>Christology of the New Testament</w:t>
      </w:r>
      <w:r w:rsidRPr="00E529DE">
        <w:t>, p. 74,</w:t>
      </w:r>
    </w:p>
  </w:footnote>
  <w:footnote w:id="31">
    <w:p w14:paraId="681063DF"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When the Arian bishop, Macedonius, was returned to office in Constantinople, over three thousand people lost their lives in the fighting. More Christians were slain by fellow Christians in this one contest alone than had died during the last terrible persecution of Roman emperor Diocletian (311).</w:t>
      </w:r>
    </w:p>
  </w:footnote>
  <w:footnote w:id="32">
    <w:p w14:paraId="57D459AC"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Quoted in Noss, </w:t>
      </w:r>
      <w:r w:rsidRPr="00E529DE">
        <w:rPr>
          <w:i/>
        </w:rPr>
        <w:t>Man’s Religions</w:t>
      </w:r>
      <w:r w:rsidRPr="00E529DE">
        <w:t>, p. 637n. This Arian creed is sometimes referred to as the “Dated Creed.” It was later abrogated at the Council of Constantinople (A.D. 381) when the church returned to Nicene theology.</w:t>
      </w:r>
    </w:p>
  </w:footnote>
  <w:footnote w:id="33">
    <w:p w14:paraId="0880F866"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Justin Martyr, quoted in Kelly, </w:t>
      </w:r>
      <w:r w:rsidRPr="00E529DE">
        <w:rPr>
          <w:i/>
        </w:rPr>
        <w:t>Early Christian Doctrines</w:t>
      </w:r>
      <w:r w:rsidRPr="00E529DE">
        <w:t>, p. 102.</w:t>
      </w:r>
    </w:p>
  </w:footnote>
  <w:footnote w:id="34">
    <w:p w14:paraId="56C61D8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St. Augustine, “On Trinity,” </w:t>
      </w:r>
      <w:r w:rsidRPr="00E529DE">
        <w:rPr>
          <w:i/>
        </w:rPr>
        <w:t>A Select Library of Nicene and Post-Nicene Fathers</w:t>
      </w:r>
      <w:r w:rsidRPr="00E529DE">
        <w:t>, Vol. III (New York: The Christian Literature Company, 1886-90).</w:t>
      </w:r>
    </w:p>
  </w:footnote>
  <w:footnote w:id="35">
    <w:p w14:paraId="0967679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Francis Legge, </w:t>
      </w:r>
      <w:r w:rsidRPr="00E529DE">
        <w:rPr>
          <w:i/>
        </w:rPr>
        <w:t>Forerunners and Rivals of Christianity: From 330 B.C. to 330 A.D.</w:t>
      </w:r>
      <w:r w:rsidRPr="00E529DE">
        <w:t xml:space="preserve"> (New York: University Books, 1964), I, 88.</w:t>
      </w:r>
    </w:p>
  </w:footnote>
  <w:footnote w:id="36">
    <w:p w14:paraId="5EFCB688"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Henry Chadwick, “The Early Church,” in </w:t>
      </w:r>
      <w:r w:rsidRPr="00E529DE">
        <w:rPr>
          <w:i/>
        </w:rPr>
        <w:t>The Pelican History of the Church</w:t>
      </w:r>
      <w:r w:rsidRPr="00E529DE">
        <w:t>, ed. O. Chadwick (Harmondsworth, England; Penguin, 1967),  I, 89.</w:t>
      </w:r>
    </w:p>
  </w:footnote>
  <w:footnote w:id="37">
    <w:p w14:paraId="1FF37A97"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w:t>
      </w:r>
      <w:r w:rsidRPr="00E529DE">
        <w:rPr>
          <w:i/>
        </w:rPr>
        <w:t>World Order of Bahá’u’lláh</w:t>
      </w:r>
      <w:r w:rsidRPr="00E529DE">
        <w:t>, p. 184.</w:t>
      </w:r>
    </w:p>
  </w:footnote>
  <w:footnote w:id="38">
    <w:p w14:paraId="5AB2BE0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Chadwick, “The Early Church,” p. 85.</w:t>
      </w:r>
    </w:p>
  </w:footnote>
  <w:footnote w:id="39">
    <w:p w14:paraId="163033B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Kelly, </w:t>
      </w:r>
      <w:r w:rsidRPr="00E529DE">
        <w:rPr>
          <w:i/>
        </w:rPr>
        <w:t>Early Christian Doctrines</w:t>
      </w:r>
      <w:r w:rsidRPr="00E529DE">
        <w:t>. p. 104.</w:t>
      </w:r>
    </w:p>
  </w:footnote>
  <w:footnote w:id="40">
    <w:p w14:paraId="523B9C1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107. In one analogy of the trinity Irenaeus used a word that is very familiar to Bahá’ís. He spoke of the Son and the Spirit as God’s “hands,” for him the vehicles or forms of His self-revelation.</w:t>
      </w:r>
    </w:p>
  </w:footnote>
  <w:footnote w:id="41">
    <w:p w14:paraId="53DEE35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111.</w:t>
      </w:r>
    </w:p>
  </w:footnote>
  <w:footnote w:id="42">
    <w:p w14:paraId="28C425B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113.</w:t>
      </w:r>
    </w:p>
  </w:footnote>
  <w:footnote w:id="43">
    <w:p w14:paraId="07E6F423"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108. The term “economy” or “Divine Economy” is also used by Irenaeus. Shoghi Effendi’s use at the same term (</w:t>
      </w:r>
      <w:r w:rsidRPr="00E529DE">
        <w:rPr>
          <w:i/>
        </w:rPr>
        <w:t>World Order af Bahá’u’lláh</w:t>
      </w:r>
      <w:r w:rsidRPr="00E529DE">
        <w:t xml:space="preserve">, pp. 19, 20, 22, 24, 61) would appear to coincide exactly with its early Christian usage. His usage of “Divine Economy” had nothing to do with Bahá’í teachings on economics but rather indicated the Divine Plan or redemptive World Order, a parallel with early Christian usage of the term. (See Kelly, </w:t>
      </w:r>
      <w:r w:rsidRPr="00E529DE">
        <w:rPr>
          <w:i/>
        </w:rPr>
        <w:t>Early Christian Doctrines</w:t>
      </w:r>
      <w:r w:rsidRPr="00E529DE">
        <w:t>, pp. 110 -11.)</w:t>
      </w:r>
    </w:p>
  </w:footnote>
  <w:footnote w:id="44">
    <w:p w14:paraId="4230875B"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It was the Council of Constantinople rather than Nicaea that proclaimed Trinitarian theology. The creed proclaimed in 381 is called the Niceno-Contantinopolitan creed since it incorporated elements of the two councils.</w:t>
      </w:r>
    </w:p>
  </w:footnote>
  <w:footnote w:id="45">
    <w:p w14:paraId="5AC5811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Chadwick, “The Early Church,” p. 136.</w:t>
      </w:r>
    </w:p>
  </w:footnote>
  <w:footnote w:id="46">
    <w:p w14:paraId="65F5BFFE"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 ‘The Covenant of God shall remain stable and secure,’ ” p. 95.</w:t>
      </w:r>
    </w:p>
  </w:footnote>
  <w:footnote w:id="47">
    <w:p w14:paraId="1FD36A6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Cyril’s intolerance had led to the murder of Hypatia, “a virtuous and clever woman” who had taught Neo-platonism Alexandria (Chadwick, “The Early Church,” p. 194). Kelly (</w:t>
      </w:r>
      <w:r w:rsidRPr="00E529DE">
        <w:rPr>
          <w:i/>
        </w:rPr>
        <w:t>Early Christian Doctrines</w:t>
      </w:r>
      <w:r w:rsidRPr="00E529DE">
        <w:t>, p, 318) justifies Cyril’s character with the remark that “he was also inspired by motives of a purely theological character.”</w:t>
      </w:r>
    </w:p>
  </w:footnote>
  <w:footnote w:id="48">
    <w:p w14:paraId="0CA610A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320.</w:t>
      </w:r>
    </w:p>
  </w:footnote>
  <w:footnote w:id="49">
    <w:p w14:paraId="59D93CE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These dualistic differences Nestorius would emphasize when he taught, for example, that it was the man Jesus that wept and died but that it was the God Jesus that stilled the storm (Chadwick, “The Early Church,” p. 197).</w:t>
      </w:r>
    </w:p>
  </w:footnote>
  <w:footnote w:id="50">
    <w:p w14:paraId="7E01E47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Nestorius with his antiochene theology was offended by the term “Mother of God,” which he felt to be degrading. He caused a riot among the monks of Constantinople by daring to suggest that the term be discontinued and replaced with “Christ bearer.”</w:t>
      </w:r>
    </w:p>
  </w:footnote>
  <w:footnote w:id="51">
    <w:p w14:paraId="29A5DFA7"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Kelly, </w:t>
      </w:r>
      <w:r w:rsidRPr="00E529DE">
        <w:rPr>
          <w:i/>
        </w:rPr>
        <w:t>Early Christian Doctrines</w:t>
      </w:r>
      <w:r w:rsidRPr="00E529DE">
        <w:t>, pp. 322, 320.</w:t>
      </w:r>
    </w:p>
  </w:footnote>
  <w:footnote w:id="52">
    <w:p w14:paraId="5B81D56B"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pp. 320, 314.</w:t>
      </w:r>
    </w:p>
  </w:footnote>
  <w:footnote w:id="53">
    <w:p w14:paraId="1EE55C37"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Ephesus, on the Asian side of the Aegean sea is in ruins today. A great harbor city in its day, the silting up of its port gradually rendered it useless.</w:t>
      </w:r>
    </w:p>
  </w:footnote>
  <w:footnote w:id="54">
    <w:p w14:paraId="600F647F"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Kelly, </w:t>
      </w:r>
      <w:r w:rsidRPr="00E529DE">
        <w:rPr>
          <w:i/>
        </w:rPr>
        <w:t>Early Christian Doctrines</w:t>
      </w:r>
      <w:r w:rsidRPr="00E529DE">
        <w:t>, p. 327.</w:t>
      </w:r>
    </w:p>
  </w:footnote>
  <w:footnote w:id="55">
    <w:p w14:paraId="498F570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Dioscorus, the Monophysite chairman at this “Robber Synod,” railroaded the proceedings. He gave Flavian no chance of self-defense. At the close of the council the Monophysite victors shouted: “Those who contradict Dioscorus blaspheme against God. God has spoken through our Patriach; the Holy Spirit has inspired him. All who keep silence are heretics.” (Zernov, </w:t>
      </w:r>
      <w:r w:rsidRPr="00E529DE">
        <w:rPr>
          <w:i/>
        </w:rPr>
        <w:t>Eastern Christendom</w:t>
      </w:r>
      <w:r w:rsidRPr="00E529DE">
        <w:t>, p. 62).</w:t>
      </w:r>
    </w:p>
  </w:footnote>
  <w:footnote w:id="56">
    <w:p w14:paraId="1B0A3076"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It was not only the Syrian Jacobite and Egyptian Monophysite churches that broke with Greek Orthodox Constantinople. The Ethiopian and Armenian churches also rejected the Chalcedon formula.</w:t>
      </w:r>
    </w:p>
  </w:footnote>
  <w:footnote w:id="57">
    <w:p w14:paraId="70F1E9F1"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analogy is partially borrowed from Zernov, </w:t>
      </w:r>
      <w:r w:rsidRPr="00E529DE">
        <w:rPr>
          <w:i/>
        </w:rPr>
        <w:t>Eastern Christendom</w:t>
      </w:r>
      <w:r w:rsidRPr="00E529DE">
        <w:t>, p. 84.</w:t>
      </w:r>
    </w:p>
  </w:footnote>
  <w:footnote w:id="58">
    <w:p w14:paraId="0BA8C2E8"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 council in Rome under Pope Damascus drew up the first canonical list of books in A.D. 382.</w:t>
      </w:r>
    </w:p>
  </w:footnote>
  <w:footnote w:id="59">
    <w:p w14:paraId="6449F79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This was the claim made for the Monophysite bishop of Alexandria at the second council of Ephesus in A.D. 449 (see n. 55).</w:t>
      </w:r>
    </w:p>
  </w:footnote>
  <w:footnote w:id="60">
    <w:p w14:paraId="04ACA711"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w:t>
      </w:r>
      <w:r w:rsidRPr="00E529DE">
        <w:rPr>
          <w:i/>
        </w:rPr>
        <w:t>Bahá’í Administration: Selected Messages 1922-1932</w:t>
      </w:r>
      <w:r w:rsidRPr="00E529DE">
        <w:t>, 7th rev. ed. (Wilmette, Ill.: Bahá’í Publishing Trust, 1974), p. 142.</w:t>
      </w:r>
    </w:p>
  </w:footnote>
  <w:footnote w:id="61">
    <w:p w14:paraId="6E91DBAA"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Under the leadership of Shoghi Effendi the institutions of the Bahá’í Administrative Order were developed from 1922 until 1936. Systematic prosecution of ‘Abdu’l Bahá’s Divine Plan began with the Seven Year Plan (1937).</w:t>
      </w:r>
    </w:p>
  </w:footnote>
  <w:footnote w:id="62">
    <w:p w14:paraId="6CA4F43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Universal House of Justice, </w:t>
      </w:r>
      <w:r w:rsidRPr="00E529DE">
        <w:rPr>
          <w:i/>
        </w:rPr>
        <w:t>Wellspring of Guidance: Message</w:t>
      </w:r>
      <w:r w:rsidRPr="00E529DE">
        <w:t xml:space="preserve">s </w:t>
      </w:r>
      <w:r w:rsidRPr="00E529DE">
        <w:rPr>
          <w:i/>
        </w:rPr>
        <w:t>1963-1968</w:t>
      </w:r>
      <w:r w:rsidRPr="00E529DE">
        <w:t>, 1st rev. ed. (Wilmette, Ill.: Bahá’í Publishing Trust, 1976), p. 53.</w:t>
      </w:r>
    </w:p>
  </w:footnote>
  <w:footnote w:id="63">
    <w:p w14:paraId="0F395B0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in Bahá’u’lláh and ‘Abdu’l-Bahá, “The First Tajalli,” </w:t>
      </w:r>
      <w:r w:rsidRPr="00E529DE">
        <w:rPr>
          <w:i/>
        </w:rPr>
        <w:t>Bahá’í World Faith: Selected Writings of Bahá’u’lláh and ‘Abdu’l-Bahá,</w:t>
      </w:r>
      <w:r w:rsidRPr="00E529DE">
        <w:t xml:space="preserve"> rev. ed. (Wilmette, Ill.: Bahá’í Publishing Trust, 1976), p. 188.</w:t>
      </w:r>
    </w:p>
  </w:footnote>
  <w:footnote w:id="64">
    <w:p w14:paraId="26656020"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Gleanings from the Writings of Bahá’u’lláh</w:t>
      </w:r>
      <w:r w:rsidRPr="00E529DE">
        <w:t>, trans. Shoghi Effendi, 2d rev. ed. (Wilmette, Ill.: Bahá’í Publishing Trust, 1976), p. 288.</w:t>
      </w:r>
    </w:p>
  </w:footnote>
  <w:footnote w:id="65">
    <w:p w14:paraId="1A2583E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in Bahá’u’lláh and ‘Abdu’l-Bahá, “Kitáb-i-‘Ahd,” </w:t>
      </w:r>
      <w:r w:rsidRPr="00E529DE">
        <w:rPr>
          <w:i/>
        </w:rPr>
        <w:t>Bahá’í World Faith</w:t>
      </w:r>
      <w:r w:rsidRPr="00E529DE">
        <w:t>, p. 209.</w:t>
      </w:r>
    </w:p>
  </w:footnote>
  <w:footnote w:id="66">
    <w:p w14:paraId="2C419A9F"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191.</w:t>
      </w:r>
    </w:p>
  </w:footnote>
  <w:footnote w:id="67">
    <w:p w14:paraId="6BD5829A"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pp. 177-78.</w:t>
      </w:r>
    </w:p>
  </w:footnote>
  <w:footnote w:id="68">
    <w:p w14:paraId="79003AAA"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quoted in J. E. Esslemont, </w:t>
      </w:r>
      <w:r w:rsidRPr="00E529DE">
        <w:rPr>
          <w:i/>
        </w:rPr>
        <w:t>Bahá’u’lláh and the New Era: An Introduction to the Bahá’í Faith</w:t>
      </w:r>
      <w:r w:rsidRPr="00E529DE">
        <w:t>, 4th rev. ed. (Wilmette, Ill.: Bahá’í Publishing Trust, 1980), p.201.</w:t>
      </w:r>
    </w:p>
  </w:footnote>
  <w:footnote w:id="69">
    <w:p w14:paraId="18D77B2E"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Universal House of Justice, </w:t>
      </w:r>
      <w:r w:rsidRPr="00E529DE">
        <w:rPr>
          <w:i/>
        </w:rPr>
        <w:t>Wellspring of Guidance</w:t>
      </w:r>
      <w:r w:rsidRPr="00E529DE">
        <w:t>, p. 87.</w:t>
      </w:r>
    </w:p>
  </w:footnote>
  <w:footnote w:id="70">
    <w:p w14:paraId="1D9D4B16"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pp. 87-88.</w:t>
      </w:r>
    </w:p>
  </w:footnote>
  <w:footnote w:id="71">
    <w:p w14:paraId="36564763"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Brandon in “The Gnostic Problem in Early Christianity” states that by the phrase “rulers of this age” Paul does not intend the temporal authorities but demonic beings who had control of the lives of men. He also discusses other Gnostic influences in Paul. </w:t>
      </w:r>
      <w:r w:rsidRPr="00E529DE">
        <w:rPr>
          <w:i/>
        </w:rPr>
        <w:t>Religion in Ancient History</w:t>
      </w:r>
      <w:r w:rsidRPr="00E529DE">
        <w:t>, pp. 324-36.</w:t>
      </w:r>
    </w:p>
  </w:footnote>
  <w:footnote w:id="72">
    <w:p w14:paraId="26FD63E1"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w:t>
      </w:r>
      <w:r w:rsidRPr="00E529DE">
        <w:rPr>
          <w:i/>
        </w:rPr>
        <w:t>Some Answered Questions</w:t>
      </w:r>
      <w:r w:rsidRPr="00E529DE">
        <w:t>, comp. and trans. Lama Clifford Barney, rev. ed. (Wilmette, Ill.: Bahá’í Publishing Trust, 1964), p. 174. Orthodox theology of the early church also taught the preexistence of the Logos.</w:t>
      </w:r>
    </w:p>
  </w:footnote>
  <w:footnote w:id="73">
    <w:p w14:paraId="61ED6A1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Ibid., p. 197.</w:t>
      </w:r>
    </w:p>
  </w:footnote>
  <w:footnote w:id="74">
    <w:p w14:paraId="6C0B7C1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w:t>
      </w:r>
      <w:r w:rsidRPr="00E529DE">
        <w:rPr>
          <w:i/>
        </w:rPr>
        <w:t>World Order of Bahá’u’lláh</w:t>
      </w:r>
      <w:r w:rsidRPr="00E529DE">
        <w:t>, p. 114.</w:t>
      </w:r>
    </w:p>
  </w:footnote>
  <w:footnote w:id="75">
    <w:p w14:paraId="0FA3B395"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The Nicene Creed reads, for example: “begotten from the Father . . . true God from true God …. from the substance of the farther.” Kelly. </w:t>
      </w:r>
      <w:r w:rsidRPr="00E529DE">
        <w:rPr>
          <w:i/>
        </w:rPr>
        <w:t>Early Christian Doctrines</w:t>
      </w:r>
      <w:r w:rsidRPr="00E529DE">
        <w:t>, p. 232, passim.</w:t>
      </w:r>
    </w:p>
  </w:footnote>
  <w:footnote w:id="76">
    <w:p w14:paraId="162D041E"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Gleanings</w:t>
      </w:r>
      <w:r w:rsidRPr="00E529DE">
        <w:t>, p. 70.</w:t>
      </w:r>
    </w:p>
  </w:footnote>
  <w:footnote w:id="77">
    <w:p w14:paraId="5803B416"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Shoghi Effendi, </w:t>
      </w:r>
      <w:r w:rsidRPr="00E529DE">
        <w:rPr>
          <w:i/>
        </w:rPr>
        <w:t>World Order of Bahá’u’lláh</w:t>
      </w:r>
      <w:r w:rsidRPr="00E529DE">
        <w:t>, p. 112.</w:t>
      </w:r>
    </w:p>
  </w:footnote>
  <w:footnote w:id="78">
    <w:p w14:paraId="21208AE2"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Gleanings,</w:t>
      </w:r>
      <w:r w:rsidRPr="00E529DE">
        <w:t xml:space="preserve"> p. 52.</w:t>
      </w:r>
    </w:p>
  </w:footnote>
  <w:footnote w:id="79">
    <w:p w14:paraId="787CC03D"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Cullmann, </w:t>
      </w:r>
      <w:r w:rsidRPr="00E529DE">
        <w:rPr>
          <w:i/>
        </w:rPr>
        <w:t>Christology of the New Testament</w:t>
      </w:r>
      <w:r w:rsidRPr="00E529DE">
        <w:t>, pp. 158, 142.</w:t>
      </w:r>
    </w:p>
  </w:footnote>
  <w:footnote w:id="80">
    <w:p w14:paraId="64E7D094"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Gleanings</w:t>
      </w:r>
      <w:r w:rsidRPr="00E529DE">
        <w:t>, p. 76. In view of this text of Bahá’u’lláh I feel that it is proper for a Bahá’í to speak of the blood sacrifice of Jesus. However, a Bahá’í would not link this notion to a belief in original sin is it is in Christian theology. The church’s aggregate condemnation of the whole human race prior to Christ’s coming has been qualified as “superstitious” by ‘Abdu’l-Bahá (</w:t>
      </w:r>
      <w:r w:rsidRPr="00E529DE">
        <w:rPr>
          <w:i/>
        </w:rPr>
        <w:t>The Reality of Man: Excerpts from Writings of Bahá’u’lláh and ’Abdu’l-Bahá</w:t>
      </w:r>
      <w:r w:rsidRPr="00E529DE">
        <w:t xml:space="preserve">, rev. ed. [Wilmette, Ill.: Bahá’í Publishing Trust, 1962]), p. 47. Bahá’u’lláh reminds us, though, that there are limits to the intellectual understanding of the mystery of sacrifice. See </w:t>
      </w:r>
      <w:r w:rsidRPr="00E529DE">
        <w:rPr>
          <w:i/>
        </w:rPr>
        <w:t>Gleanings</w:t>
      </w:r>
      <w:r w:rsidRPr="00E529DE">
        <w:t xml:space="preserve">, p. 76; cf. Bahá’u’lláh, </w:t>
      </w:r>
      <w:r w:rsidRPr="00E529DE">
        <w:rPr>
          <w:i/>
        </w:rPr>
        <w:t>The</w:t>
      </w:r>
      <w:r w:rsidRPr="00E529DE">
        <w:t xml:space="preserve"> </w:t>
      </w:r>
      <w:r w:rsidRPr="00E529DE">
        <w:rPr>
          <w:i/>
        </w:rPr>
        <w:t>Kitáb-i-Íqán: The Book of Certitude</w:t>
      </w:r>
      <w:r w:rsidRPr="00E529DE">
        <w:t>, trans, Shoghi Effendi, 3d ed. (Wilmette, Ill.: Bahá’í Publishing Trust, 1974), p. 129.</w:t>
      </w:r>
    </w:p>
  </w:footnote>
  <w:footnote w:id="81">
    <w:p w14:paraId="2C39B7AD"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See Cullman, </w:t>
      </w:r>
      <w:r w:rsidRPr="00E529DE">
        <w:rPr>
          <w:i/>
        </w:rPr>
        <w:t>Christology of the New Testament</w:t>
      </w:r>
      <w:r w:rsidRPr="00E529DE">
        <w:t>.</w:t>
      </w:r>
    </w:p>
  </w:footnote>
  <w:footnote w:id="82">
    <w:p w14:paraId="3D482FA1"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Gleanings</w:t>
      </w:r>
      <w:r w:rsidRPr="00E529DE">
        <w:t>, p. 55.</w:t>
      </w:r>
    </w:p>
  </w:footnote>
  <w:footnote w:id="83">
    <w:p w14:paraId="15580DC8"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‘Abdu’l-Bahá, </w:t>
      </w:r>
      <w:r w:rsidRPr="00E529DE">
        <w:rPr>
          <w:i/>
        </w:rPr>
        <w:t>Some Answered  Questions</w:t>
      </w:r>
      <w:r w:rsidRPr="00E529DE">
        <w:t>,  p. 174.</w:t>
      </w:r>
    </w:p>
  </w:footnote>
  <w:footnote w:id="84">
    <w:p w14:paraId="6E15606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Cullman, </w:t>
      </w:r>
      <w:r w:rsidRPr="00E529DE">
        <w:rPr>
          <w:i/>
        </w:rPr>
        <w:t>Christology of the New Testament</w:t>
      </w:r>
      <w:r w:rsidRPr="00E529DE">
        <w:t>, pp. 265-66. Because of Bahá’u’lláh’s and ‘Abdu’l-Bahá’s endorsement of Logos theology, I cannot concur with those who look to Ebionite Christology as being closer to the Bahá’í concept of the Manifestation. It is in some ways; however, the Johannine Logos that is endorsed in the Bahá’í Faith and that is also used by Paul was rejected by the Ebionites. Ebionites also rejected the virgin birth, which is espoused in the Bahá’í Faith.</w:t>
      </w:r>
    </w:p>
  </w:footnote>
  <w:footnote w:id="85">
    <w:p w14:paraId="4520832C"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Bahá’u’lláh, </w:t>
      </w:r>
      <w:r w:rsidRPr="00E529DE">
        <w:rPr>
          <w:i/>
        </w:rPr>
        <w:t>Kitáb-i-Íqán</w:t>
      </w:r>
      <w:r w:rsidRPr="00E529DE">
        <w:t>, p. 103.</w:t>
      </w:r>
    </w:p>
  </w:footnote>
  <w:footnote w:id="86">
    <w:p w14:paraId="0B54FF89" w14:textId="77777777" w:rsidR="004B5E13" w:rsidRPr="00E529DE" w:rsidRDefault="004B5E13" w:rsidP="0076498A">
      <w:pPr>
        <w:pStyle w:val="FootnoteText"/>
        <w:spacing w:before="120" w:after="120" w:line="288" w:lineRule="auto"/>
        <w:rPr>
          <w:rFonts w:hint="eastAsia"/>
        </w:rPr>
      </w:pPr>
      <w:r w:rsidRPr="00E529DE">
        <w:rPr>
          <w:rStyle w:val="FootnoteReference"/>
        </w:rPr>
        <w:footnoteRef/>
      </w:r>
      <w:r w:rsidRPr="00E529DE">
        <w:t xml:space="preserve"> </w:t>
      </w:r>
      <w:r w:rsidRPr="00E529DE">
        <w:rPr>
          <w:rFonts w:eastAsia="Times New Roman" w:cstheme="minorHAnsi"/>
          <w:i/>
        </w:rPr>
        <w:t>Tablets of Bahá'u'lláh</w:t>
      </w:r>
      <w:r w:rsidRPr="00E529DE">
        <w:rPr>
          <w:rFonts w:eastAsia="Times New Roman" w:cstheme="minorHAnsi"/>
        </w:rPr>
        <w:t>, p. 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4629"/>
    <w:rsid w:val="00001162"/>
    <w:rsid w:val="00003FCA"/>
    <w:rsid w:val="00004101"/>
    <w:rsid w:val="00011655"/>
    <w:rsid w:val="00013AE3"/>
    <w:rsid w:val="00016868"/>
    <w:rsid w:val="00022945"/>
    <w:rsid w:val="00027586"/>
    <w:rsid w:val="000275C6"/>
    <w:rsid w:val="00031483"/>
    <w:rsid w:val="00033136"/>
    <w:rsid w:val="00034C9E"/>
    <w:rsid w:val="00035568"/>
    <w:rsid w:val="00040054"/>
    <w:rsid w:val="00040FE2"/>
    <w:rsid w:val="000460B1"/>
    <w:rsid w:val="00050117"/>
    <w:rsid w:val="000520B5"/>
    <w:rsid w:val="00055F85"/>
    <w:rsid w:val="0005796F"/>
    <w:rsid w:val="00057C08"/>
    <w:rsid w:val="00061406"/>
    <w:rsid w:val="00072FEC"/>
    <w:rsid w:val="0008529E"/>
    <w:rsid w:val="00085EEF"/>
    <w:rsid w:val="00087451"/>
    <w:rsid w:val="00087890"/>
    <w:rsid w:val="000902A7"/>
    <w:rsid w:val="00090685"/>
    <w:rsid w:val="00094CE0"/>
    <w:rsid w:val="00095B76"/>
    <w:rsid w:val="000976A9"/>
    <w:rsid w:val="000A3134"/>
    <w:rsid w:val="000A5113"/>
    <w:rsid w:val="000A5F21"/>
    <w:rsid w:val="000A6173"/>
    <w:rsid w:val="000B3DCC"/>
    <w:rsid w:val="000B4FDB"/>
    <w:rsid w:val="000C5955"/>
    <w:rsid w:val="000C6305"/>
    <w:rsid w:val="000D6C7A"/>
    <w:rsid w:val="000E3C20"/>
    <w:rsid w:val="000E755A"/>
    <w:rsid w:val="000F02FA"/>
    <w:rsid w:val="000F081D"/>
    <w:rsid w:val="000F0F61"/>
    <w:rsid w:val="000F5896"/>
    <w:rsid w:val="000F65CC"/>
    <w:rsid w:val="000F676F"/>
    <w:rsid w:val="000F6905"/>
    <w:rsid w:val="001068A0"/>
    <w:rsid w:val="00112FF0"/>
    <w:rsid w:val="00113F8C"/>
    <w:rsid w:val="001150CF"/>
    <w:rsid w:val="00117B4E"/>
    <w:rsid w:val="00117F38"/>
    <w:rsid w:val="00120850"/>
    <w:rsid w:val="0013303B"/>
    <w:rsid w:val="0014174C"/>
    <w:rsid w:val="00143F64"/>
    <w:rsid w:val="00155CD4"/>
    <w:rsid w:val="00163AA5"/>
    <w:rsid w:val="00167225"/>
    <w:rsid w:val="001702FA"/>
    <w:rsid w:val="00171AC4"/>
    <w:rsid w:val="001766DD"/>
    <w:rsid w:val="001809CD"/>
    <w:rsid w:val="00180BF7"/>
    <w:rsid w:val="00182C07"/>
    <w:rsid w:val="001840A5"/>
    <w:rsid w:val="001848A6"/>
    <w:rsid w:val="001A02C5"/>
    <w:rsid w:val="001A0A72"/>
    <w:rsid w:val="001A16B6"/>
    <w:rsid w:val="001A5B60"/>
    <w:rsid w:val="001B42F3"/>
    <w:rsid w:val="001B648A"/>
    <w:rsid w:val="001C13B9"/>
    <w:rsid w:val="001C37D9"/>
    <w:rsid w:val="001D6E7A"/>
    <w:rsid w:val="001E19FA"/>
    <w:rsid w:val="001E3BC2"/>
    <w:rsid w:val="001E7ACD"/>
    <w:rsid w:val="001F2FF3"/>
    <w:rsid w:val="0020547A"/>
    <w:rsid w:val="00210F66"/>
    <w:rsid w:val="00212A8D"/>
    <w:rsid w:val="00213229"/>
    <w:rsid w:val="00217212"/>
    <w:rsid w:val="00225371"/>
    <w:rsid w:val="0022699D"/>
    <w:rsid w:val="00230C0D"/>
    <w:rsid w:val="00231A0A"/>
    <w:rsid w:val="002325E8"/>
    <w:rsid w:val="00235E9C"/>
    <w:rsid w:val="002433C7"/>
    <w:rsid w:val="002452C6"/>
    <w:rsid w:val="00256AF6"/>
    <w:rsid w:val="00256E6B"/>
    <w:rsid w:val="00257200"/>
    <w:rsid w:val="00261E05"/>
    <w:rsid w:val="0026228C"/>
    <w:rsid w:val="0026275A"/>
    <w:rsid w:val="002642B0"/>
    <w:rsid w:val="002652CE"/>
    <w:rsid w:val="0027058A"/>
    <w:rsid w:val="002812A2"/>
    <w:rsid w:val="002812B2"/>
    <w:rsid w:val="002823F3"/>
    <w:rsid w:val="00282D01"/>
    <w:rsid w:val="00283EAB"/>
    <w:rsid w:val="00284AB4"/>
    <w:rsid w:val="00285729"/>
    <w:rsid w:val="00291B03"/>
    <w:rsid w:val="00293ED1"/>
    <w:rsid w:val="00294CC4"/>
    <w:rsid w:val="002A753C"/>
    <w:rsid w:val="002B078F"/>
    <w:rsid w:val="002B527F"/>
    <w:rsid w:val="002B5C43"/>
    <w:rsid w:val="002D35BA"/>
    <w:rsid w:val="002E6AB3"/>
    <w:rsid w:val="002E73A5"/>
    <w:rsid w:val="002F4E67"/>
    <w:rsid w:val="002F6BA4"/>
    <w:rsid w:val="002F7B31"/>
    <w:rsid w:val="003030AD"/>
    <w:rsid w:val="00305175"/>
    <w:rsid w:val="003054E7"/>
    <w:rsid w:val="003114FD"/>
    <w:rsid w:val="00311ABB"/>
    <w:rsid w:val="00312E6D"/>
    <w:rsid w:val="00322F4F"/>
    <w:rsid w:val="00323648"/>
    <w:rsid w:val="00341178"/>
    <w:rsid w:val="0034166C"/>
    <w:rsid w:val="00341E34"/>
    <w:rsid w:val="003437E9"/>
    <w:rsid w:val="00356603"/>
    <w:rsid w:val="00367850"/>
    <w:rsid w:val="003708F7"/>
    <w:rsid w:val="00371E2B"/>
    <w:rsid w:val="0037773F"/>
    <w:rsid w:val="00377EB7"/>
    <w:rsid w:val="00380052"/>
    <w:rsid w:val="00380828"/>
    <w:rsid w:val="00381336"/>
    <w:rsid w:val="00383940"/>
    <w:rsid w:val="00394B46"/>
    <w:rsid w:val="00397EB9"/>
    <w:rsid w:val="003A1E91"/>
    <w:rsid w:val="003A30B0"/>
    <w:rsid w:val="003A4FEF"/>
    <w:rsid w:val="003A52CC"/>
    <w:rsid w:val="003B16E3"/>
    <w:rsid w:val="003B1A3E"/>
    <w:rsid w:val="003B24A8"/>
    <w:rsid w:val="003B6C86"/>
    <w:rsid w:val="003B7E81"/>
    <w:rsid w:val="003C3B25"/>
    <w:rsid w:val="003C4193"/>
    <w:rsid w:val="003C5F2C"/>
    <w:rsid w:val="003D1DB7"/>
    <w:rsid w:val="003E0548"/>
    <w:rsid w:val="003E21E1"/>
    <w:rsid w:val="003E6AFB"/>
    <w:rsid w:val="003F24AB"/>
    <w:rsid w:val="003F63B3"/>
    <w:rsid w:val="00402748"/>
    <w:rsid w:val="00404372"/>
    <w:rsid w:val="004069C3"/>
    <w:rsid w:val="00407CC7"/>
    <w:rsid w:val="00412035"/>
    <w:rsid w:val="00412799"/>
    <w:rsid w:val="00413699"/>
    <w:rsid w:val="00415471"/>
    <w:rsid w:val="0042210F"/>
    <w:rsid w:val="004264BE"/>
    <w:rsid w:val="00431E30"/>
    <w:rsid w:val="0043211C"/>
    <w:rsid w:val="0043255B"/>
    <w:rsid w:val="00432911"/>
    <w:rsid w:val="004357EF"/>
    <w:rsid w:val="00444B50"/>
    <w:rsid w:val="00446330"/>
    <w:rsid w:val="004464D0"/>
    <w:rsid w:val="00447239"/>
    <w:rsid w:val="00457ED8"/>
    <w:rsid w:val="00462C56"/>
    <w:rsid w:val="004650C9"/>
    <w:rsid w:val="0046609C"/>
    <w:rsid w:val="0047061A"/>
    <w:rsid w:val="004733E0"/>
    <w:rsid w:val="004779A9"/>
    <w:rsid w:val="00481875"/>
    <w:rsid w:val="00484346"/>
    <w:rsid w:val="004865A6"/>
    <w:rsid w:val="0049539E"/>
    <w:rsid w:val="004A0250"/>
    <w:rsid w:val="004A625E"/>
    <w:rsid w:val="004A7595"/>
    <w:rsid w:val="004B041C"/>
    <w:rsid w:val="004B054B"/>
    <w:rsid w:val="004B47A4"/>
    <w:rsid w:val="004B5E13"/>
    <w:rsid w:val="004B7928"/>
    <w:rsid w:val="004C5E79"/>
    <w:rsid w:val="004D1F6C"/>
    <w:rsid w:val="004D7E20"/>
    <w:rsid w:val="004E1213"/>
    <w:rsid w:val="004E205B"/>
    <w:rsid w:val="004F0C26"/>
    <w:rsid w:val="004F4593"/>
    <w:rsid w:val="004F4E34"/>
    <w:rsid w:val="005015A2"/>
    <w:rsid w:val="0050613A"/>
    <w:rsid w:val="005117D9"/>
    <w:rsid w:val="0051585E"/>
    <w:rsid w:val="0051653F"/>
    <w:rsid w:val="00520C1C"/>
    <w:rsid w:val="005335ED"/>
    <w:rsid w:val="00536EC5"/>
    <w:rsid w:val="00544629"/>
    <w:rsid w:val="00545E73"/>
    <w:rsid w:val="00546E86"/>
    <w:rsid w:val="00547887"/>
    <w:rsid w:val="00551F36"/>
    <w:rsid w:val="00556EC3"/>
    <w:rsid w:val="00567307"/>
    <w:rsid w:val="00592250"/>
    <w:rsid w:val="00594458"/>
    <w:rsid w:val="005A3669"/>
    <w:rsid w:val="005A60DA"/>
    <w:rsid w:val="005B0AE3"/>
    <w:rsid w:val="005B3668"/>
    <w:rsid w:val="005B58CB"/>
    <w:rsid w:val="005C150C"/>
    <w:rsid w:val="005C4431"/>
    <w:rsid w:val="005C459D"/>
    <w:rsid w:val="005C5F9E"/>
    <w:rsid w:val="005D208F"/>
    <w:rsid w:val="005D4389"/>
    <w:rsid w:val="005E1938"/>
    <w:rsid w:val="005E2B0E"/>
    <w:rsid w:val="005E7298"/>
    <w:rsid w:val="005E77EE"/>
    <w:rsid w:val="005F0CD7"/>
    <w:rsid w:val="005F1214"/>
    <w:rsid w:val="005F4523"/>
    <w:rsid w:val="005F4C99"/>
    <w:rsid w:val="005F7D3A"/>
    <w:rsid w:val="0060408E"/>
    <w:rsid w:val="00607729"/>
    <w:rsid w:val="006133FA"/>
    <w:rsid w:val="006179A9"/>
    <w:rsid w:val="00621A43"/>
    <w:rsid w:val="0062291B"/>
    <w:rsid w:val="00623B50"/>
    <w:rsid w:val="00627D4F"/>
    <w:rsid w:val="00643C6E"/>
    <w:rsid w:val="0064529B"/>
    <w:rsid w:val="006513B5"/>
    <w:rsid w:val="0065237B"/>
    <w:rsid w:val="006527E1"/>
    <w:rsid w:val="0065531D"/>
    <w:rsid w:val="00670B74"/>
    <w:rsid w:val="006755DE"/>
    <w:rsid w:val="00681B7A"/>
    <w:rsid w:val="0069013A"/>
    <w:rsid w:val="00693171"/>
    <w:rsid w:val="00696AB3"/>
    <w:rsid w:val="006975AA"/>
    <w:rsid w:val="006979F4"/>
    <w:rsid w:val="006A1C18"/>
    <w:rsid w:val="006A6F79"/>
    <w:rsid w:val="006B3041"/>
    <w:rsid w:val="006B4D51"/>
    <w:rsid w:val="006C23C4"/>
    <w:rsid w:val="006C2A5F"/>
    <w:rsid w:val="006D47FE"/>
    <w:rsid w:val="006D5E8F"/>
    <w:rsid w:val="006E19AD"/>
    <w:rsid w:val="006E1F71"/>
    <w:rsid w:val="006E384B"/>
    <w:rsid w:val="00700BA8"/>
    <w:rsid w:val="007043A0"/>
    <w:rsid w:val="007048FD"/>
    <w:rsid w:val="00705965"/>
    <w:rsid w:val="00705BC1"/>
    <w:rsid w:val="007077AC"/>
    <w:rsid w:val="00707DF3"/>
    <w:rsid w:val="007170F1"/>
    <w:rsid w:val="00717204"/>
    <w:rsid w:val="00720BA0"/>
    <w:rsid w:val="00720BE3"/>
    <w:rsid w:val="00721299"/>
    <w:rsid w:val="007233C1"/>
    <w:rsid w:val="007262F1"/>
    <w:rsid w:val="00730F83"/>
    <w:rsid w:val="00737E5E"/>
    <w:rsid w:val="007432FE"/>
    <w:rsid w:val="00746270"/>
    <w:rsid w:val="00756FB9"/>
    <w:rsid w:val="00760458"/>
    <w:rsid w:val="00760729"/>
    <w:rsid w:val="007609F6"/>
    <w:rsid w:val="0076498A"/>
    <w:rsid w:val="00780666"/>
    <w:rsid w:val="007903BB"/>
    <w:rsid w:val="007906DC"/>
    <w:rsid w:val="007962BE"/>
    <w:rsid w:val="0079660A"/>
    <w:rsid w:val="007A0D26"/>
    <w:rsid w:val="007A14D7"/>
    <w:rsid w:val="007A16B0"/>
    <w:rsid w:val="007A568B"/>
    <w:rsid w:val="007A7F50"/>
    <w:rsid w:val="007B04E9"/>
    <w:rsid w:val="007B114D"/>
    <w:rsid w:val="007B305D"/>
    <w:rsid w:val="007B37C2"/>
    <w:rsid w:val="007B61E0"/>
    <w:rsid w:val="007B6F65"/>
    <w:rsid w:val="007C0BDD"/>
    <w:rsid w:val="007C7C08"/>
    <w:rsid w:val="007F2261"/>
    <w:rsid w:val="007F6B76"/>
    <w:rsid w:val="007F7B6C"/>
    <w:rsid w:val="00810A99"/>
    <w:rsid w:val="00811825"/>
    <w:rsid w:val="008121B2"/>
    <w:rsid w:val="00815001"/>
    <w:rsid w:val="0081726C"/>
    <w:rsid w:val="00817644"/>
    <w:rsid w:val="00823BE7"/>
    <w:rsid w:val="00824655"/>
    <w:rsid w:val="0082754D"/>
    <w:rsid w:val="00827D94"/>
    <w:rsid w:val="00840749"/>
    <w:rsid w:val="00840FCB"/>
    <w:rsid w:val="008443DD"/>
    <w:rsid w:val="008525C2"/>
    <w:rsid w:val="0085434E"/>
    <w:rsid w:val="00855128"/>
    <w:rsid w:val="0085601C"/>
    <w:rsid w:val="00872A80"/>
    <w:rsid w:val="00874AC2"/>
    <w:rsid w:val="00875F1E"/>
    <w:rsid w:val="00877DD4"/>
    <w:rsid w:val="008809A9"/>
    <w:rsid w:val="00891442"/>
    <w:rsid w:val="00892829"/>
    <w:rsid w:val="00894752"/>
    <w:rsid w:val="008A6A8F"/>
    <w:rsid w:val="008B3BA1"/>
    <w:rsid w:val="008B7ED3"/>
    <w:rsid w:val="008D0851"/>
    <w:rsid w:val="008D1942"/>
    <w:rsid w:val="008D2701"/>
    <w:rsid w:val="008D4CAA"/>
    <w:rsid w:val="008D7801"/>
    <w:rsid w:val="008E0E1C"/>
    <w:rsid w:val="008E1736"/>
    <w:rsid w:val="008E63C0"/>
    <w:rsid w:val="008E6B99"/>
    <w:rsid w:val="008E6EAD"/>
    <w:rsid w:val="008F320C"/>
    <w:rsid w:val="008F641E"/>
    <w:rsid w:val="008F76DB"/>
    <w:rsid w:val="009014D6"/>
    <w:rsid w:val="00905D06"/>
    <w:rsid w:val="009076CE"/>
    <w:rsid w:val="00907B24"/>
    <w:rsid w:val="00921D7B"/>
    <w:rsid w:val="00923F4E"/>
    <w:rsid w:val="0093606D"/>
    <w:rsid w:val="00940CDC"/>
    <w:rsid w:val="0094166A"/>
    <w:rsid w:val="0094246D"/>
    <w:rsid w:val="00945DBE"/>
    <w:rsid w:val="0095042F"/>
    <w:rsid w:val="0095386B"/>
    <w:rsid w:val="0095579F"/>
    <w:rsid w:val="009634F2"/>
    <w:rsid w:val="00966DB2"/>
    <w:rsid w:val="009710A1"/>
    <w:rsid w:val="00971B01"/>
    <w:rsid w:val="00971C4B"/>
    <w:rsid w:val="00972EF8"/>
    <w:rsid w:val="0097320F"/>
    <w:rsid w:val="00984C4A"/>
    <w:rsid w:val="0099260F"/>
    <w:rsid w:val="00994C29"/>
    <w:rsid w:val="009961C6"/>
    <w:rsid w:val="009A3258"/>
    <w:rsid w:val="009A4430"/>
    <w:rsid w:val="009A4CF7"/>
    <w:rsid w:val="009A7B1A"/>
    <w:rsid w:val="009B159B"/>
    <w:rsid w:val="009B262B"/>
    <w:rsid w:val="009B33E9"/>
    <w:rsid w:val="009B52B1"/>
    <w:rsid w:val="009B6858"/>
    <w:rsid w:val="009B6F20"/>
    <w:rsid w:val="009C00EF"/>
    <w:rsid w:val="009C4536"/>
    <w:rsid w:val="009C497F"/>
    <w:rsid w:val="009D6935"/>
    <w:rsid w:val="009D69B3"/>
    <w:rsid w:val="009E3AE5"/>
    <w:rsid w:val="009E467F"/>
    <w:rsid w:val="009F08A6"/>
    <w:rsid w:val="009F304D"/>
    <w:rsid w:val="00A00837"/>
    <w:rsid w:val="00A0153A"/>
    <w:rsid w:val="00A045B3"/>
    <w:rsid w:val="00A10268"/>
    <w:rsid w:val="00A13902"/>
    <w:rsid w:val="00A13E13"/>
    <w:rsid w:val="00A17EA0"/>
    <w:rsid w:val="00A20AA4"/>
    <w:rsid w:val="00A233B2"/>
    <w:rsid w:val="00A23A29"/>
    <w:rsid w:val="00A25E69"/>
    <w:rsid w:val="00A26308"/>
    <w:rsid w:val="00A44098"/>
    <w:rsid w:val="00A458DE"/>
    <w:rsid w:val="00A5631B"/>
    <w:rsid w:val="00A660C5"/>
    <w:rsid w:val="00A71B18"/>
    <w:rsid w:val="00A71B8F"/>
    <w:rsid w:val="00A71CE0"/>
    <w:rsid w:val="00A7438A"/>
    <w:rsid w:val="00A778CA"/>
    <w:rsid w:val="00A812FF"/>
    <w:rsid w:val="00A93E41"/>
    <w:rsid w:val="00A97050"/>
    <w:rsid w:val="00AA26CB"/>
    <w:rsid w:val="00AA2959"/>
    <w:rsid w:val="00AB624F"/>
    <w:rsid w:val="00AB7211"/>
    <w:rsid w:val="00AC5728"/>
    <w:rsid w:val="00AC6175"/>
    <w:rsid w:val="00AD1046"/>
    <w:rsid w:val="00AD4B8C"/>
    <w:rsid w:val="00AD5379"/>
    <w:rsid w:val="00AF2242"/>
    <w:rsid w:val="00AF583F"/>
    <w:rsid w:val="00B01619"/>
    <w:rsid w:val="00B01B3B"/>
    <w:rsid w:val="00B0204E"/>
    <w:rsid w:val="00B05B7D"/>
    <w:rsid w:val="00B15E72"/>
    <w:rsid w:val="00B16743"/>
    <w:rsid w:val="00B275E9"/>
    <w:rsid w:val="00B31682"/>
    <w:rsid w:val="00B321D6"/>
    <w:rsid w:val="00B37D93"/>
    <w:rsid w:val="00B40C39"/>
    <w:rsid w:val="00B41974"/>
    <w:rsid w:val="00B426F3"/>
    <w:rsid w:val="00B443C1"/>
    <w:rsid w:val="00B460BE"/>
    <w:rsid w:val="00B50212"/>
    <w:rsid w:val="00B57474"/>
    <w:rsid w:val="00B6439E"/>
    <w:rsid w:val="00B645DB"/>
    <w:rsid w:val="00B6514E"/>
    <w:rsid w:val="00B67B1F"/>
    <w:rsid w:val="00B72F39"/>
    <w:rsid w:val="00B74A0B"/>
    <w:rsid w:val="00B75F0C"/>
    <w:rsid w:val="00B77ED1"/>
    <w:rsid w:val="00B8449A"/>
    <w:rsid w:val="00B879E9"/>
    <w:rsid w:val="00B900B5"/>
    <w:rsid w:val="00B964D0"/>
    <w:rsid w:val="00B96DDF"/>
    <w:rsid w:val="00B97172"/>
    <w:rsid w:val="00B97B13"/>
    <w:rsid w:val="00BA1340"/>
    <w:rsid w:val="00BA3840"/>
    <w:rsid w:val="00BA6BC8"/>
    <w:rsid w:val="00BB1EFD"/>
    <w:rsid w:val="00BB46D8"/>
    <w:rsid w:val="00BB5044"/>
    <w:rsid w:val="00BC7389"/>
    <w:rsid w:val="00BC77E9"/>
    <w:rsid w:val="00BD1DD6"/>
    <w:rsid w:val="00BD589E"/>
    <w:rsid w:val="00BD6DF9"/>
    <w:rsid w:val="00BE5AA5"/>
    <w:rsid w:val="00BE6D61"/>
    <w:rsid w:val="00BF02D3"/>
    <w:rsid w:val="00BF649C"/>
    <w:rsid w:val="00BF7648"/>
    <w:rsid w:val="00C01C5F"/>
    <w:rsid w:val="00C11308"/>
    <w:rsid w:val="00C13298"/>
    <w:rsid w:val="00C1680F"/>
    <w:rsid w:val="00C26C65"/>
    <w:rsid w:val="00C27689"/>
    <w:rsid w:val="00C360AD"/>
    <w:rsid w:val="00C40661"/>
    <w:rsid w:val="00C42B07"/>
    <w:rsid w:val="00C46371"/>
    <w:rsid w:val="00C51D5A"/>
    <w:rsid w:val="00C66116"/>
    <w:rsid w:val="00C66424"/>
    <w:rsid w:val="00C673E7"/>
    <w:rsid w:val="00C70A2A"/>
    <w:rsid w:val="00C74556"/>
    <w:rsid w:val="00C751CC"/>
    <w:rsid w:val="00C769FF"/>
    <w:rsid w:val="00C81910"/>
    <w:rsid w:val="00C82495"/>
    <w:rsid w:val="00C8387D"/>
    <w:rsid w:val="00C91373"/>
    <w:rsid w:val="00C93B4F"/>
    <w:rsid w:val="00C94F60"/>
    <w:rsid w:val="00C9694C"/>
    <w:rsid w:val="00CA1D6A"/>
    <w:rsid w:val="00CA2B72"/>
    <w:rsid w:val="00CC6C45"/>
    <w:rsid w:val="00CD157D"/>
    <w:rsid w:val="00CD5251"/>
    <w:rsid w:val="00CE0592"/>
    <w:rsid w:val="00CE45ED"/>
    <w:rsid w:val="00CE65EB"/>
    <w:rsid w:val="00D00BD5"/>
    <w:rsid w:val="00D02A37"/>
    <w:rsid w:val="00D02E1F"/>
    <w:rsid w:val="00D06AEB"/>
    <w:rsid w:val="00D13F69"/>
    <w:rsid w:val="00D30156"/>
    <w:rsid w:val="00D30496"/>
    <w:rsid w:val="00D3049B"/>
    <w:rsid w:val="00D31D6A"/>
    <w:rsid w:val="00D3294B"/>
    <w:rsid w:val="00D331FF"/>
    <w:rsid w:val="00D36081"/>
    <w:rsid w:val="00D37014"/>
    <w:rsid w:val="00D44EF3"/>
    <w:rsid w:val="00D46EBE"/>
    <w:rsid w:val="00D518A4"/>
    <w:rsid w:val="00D54434"/>
    <w:rsid w:val="00D604FE"/>
    <w:rsid w:val="00D61EBD"/>
    <w:rsid w:val="00D64EBA"/>
    <w:rsid w:val="00D652BC"/>
    <w:rsid w:val="00D70A07"/>
    <w:rsid w:val="00D716FD"/>
    <w:rsid w:val="00D74C03"/>
    <w:rsid w:val="00D75F46"/>
    <w:rsid w:val="00D769C6"/>
    <w:rsid w:val="00D8127E"/>
    <w:rsid w:val="00D81A3A"/>
    <w:rsid w:val="00D81EFB"/>
    <w:rsid w:val="00D82387"/>
    <w:rsid w:val="00D82B32"/>
    <w:rsid w:val="00D83D11"/>
    <w:rsid w:val="00D871D9"/>
    <w:rsid w:val="00D871F9"/>
    <w:rsid w:val="00D95B8D"/>
    <w:rsid w:val="00D96EAE"/>
    <w:rsid w:val="00D9772A"/>
    <w:rsid w:val="00DA3172"/>
    <w:rsid w:val="00DA36E5"/>
    <w:rsid w:val="00DA4AB7"/>
    <w:rsid w:val="00DA6E21"/>
    <w:rsid w:val="00DB577C"/>
    <w:rsid w:val="00DB6E66"/>
    <w:rsid w:val="00DB6FFF"/>
    <w:rsid w:val="00DC1DDC"/>
    <w:rsid w:val="00DC4D15"/>
    <w:rsid w:val="00DC60AF"/>
    <w:rsid w:val="00DD24C6"/>
    <w:rsid w:val="00DD5E8A"/>
    <w:rsid w:val="00DD6C5B"/>
    <w:rsid w:val="00DE4499"/>
    <w:rsid w:val="00DE4E9F"/>
    <w:rsid w:val="00DE551C"/>
    <w:rsid w:val="00DF6EFD"/>
    <w:rsid w:val="00E038A9"/>
    <w:rsid w:val="00E11D01"/>
    <w:rsid w:val="00E122EC"/>
    <w:rsid w:val="00E12ACC"/>
    <w:rsid w:val="00E148D9"/>
    <w:rsid w:val="00E25BD1"/>
    <w:rsid w:val="00E278EA"/>
    <w:rsid w:val="00E36119"/>
    <w:rsid w:val="00E3772B"/>
    <w:rsid w:val="00E379E2"/>
    <w:rsid w:val="00E4146A"/>
    <w:rsid w:val="00E42B92"/>
    <w:rsid w:val="00E434E4"/>
    <w:rsid w:val="00E457CF"/>
    <w:rsid w:val="00E457F9"/>
    <w:rsid w:val="00E502B3"/>
    <w:rsid w:val="00E529DE"/>
    <w:rsid w:val="00E54EE7"/>
    <w:rsid w:val="00E57D72"/>
    <w:rsid w:val="00E63107"/>
    <w:rsid w:val="00E64768"/>
    <w:rsid w:val="00E76A83"/>
    <w:rsid w:val="00E86609"/>
    <w:rsid w:val="00E940FD"/>
    <w:rsid w:val="00E9681C"/>
    <w:rsid w:val="00EA13FC"/>
    <w:rsid w:val="00EA2B8B"/>
    <w:rsid w:val="00EA5B27"/>
    <w:rsid w:val="00EA7350"/>
    <w:rsid w:val="00EB17E7"/>
    <w:rsid w:val="00EB2E0A"/>
    <w:rsid w:val="00EB37DE"/>
    <w:rsid w:val="00EB484E"/>
    <w:rsid w:val="00EC2757"/>
    <w:rsid w:val="00EC52AA"/>
    <w:rsid w:val="00EC5C03"/>
    <w:rsid w:val="00ED0AB0"/>
    <w:rsid w:val="00ED1CE3"/>
    <w:rsid w:val="00ED2B4B"/>
    <w:rsid w:val="00ED309B"/>
    <w:rsid w:val="00ED32C1"/>
    <w:rsid w:val="00EE084A"/>
    <w:rsid w:val="00EE13F7"/>
    <w:rsid w:val="00EE3B86"/>
    <w:rsid w:val="00EE48BB"/>
    <w:rsid w:val="00EE73AB"/>
    <w:rsid w:val="00EE7664"/>
    <w:rsid w:val="00F013EB"/>
    <w:rsid w:val="00F020F5"/>
    <w:rsid w:val="00F032C0"/>
    <w:rsid w:val="00F03C94"/>
    <w:rsid w:val="00F1168A"/>
    <w:rsid w:val="00F14E90"/>
    <w:rsid w:val="00F25E7C"/>
    <w:rsid w:val="00F33251"/>
    <w:rsid w:val="00F402DA"/>
    <w:rsid w:val="00F43467"/>
    <w:rsid w:val="00F45C6F"/>
    <w:rsid w:val="00F558B6"/>
    <w:rsid w:val="00F62D2A"/>
    <w:rsid w:val="00F63228"/>
    <w:rsid w:val="00F6647D"/>
    <w:rsid w:val="00F6701C"/>
    <w:rsid w:val="00F670C3"/>
    <w:rsid w:val="00F710AE"/>
    <w:rsid w:val="00F763E5"/>
    <w:rsid w:val="00F871BA"/>
    <w:rsid w:val="00F9015F"/>
    <w:rsid w:val="00F9455E"/>
    <w:rsid w:val="00FA64BC"/>
    <w:rsid w:val="00FA6D11"/>
    <w:rsid w:val="00FB0BA3"/>
    <w:rsid w:val="00FB62FF"/>
    <w:rsid w:val="00FB75BC"/>
    <w:rsid w:val="00FC55F4"/>
    <w:rsid w:val="00FD26C8"/>
    <w:rsid w:val="00FE1054"/>
    <w:rsid w:val="00FE1C9C"/>
    <w:rsid w:val="00FE22F7"/>
    <w:rsid w:val="00FE3DFA"/>
    <w:rsid w:val="00FE7E92"/>
    <w:rsid w:val="00FF473D"/>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D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age">
    <w:name w:val="opage"/>
    <w:basedOn w:val="DefaultParagraphFont"/>
    <w:rsid w:val="00544629"/>
  </w:style>
  <w:style w:type="character" w:styleId="Hyperlink">
    <w:name w:val="Hyperlink"/>
    <w:basedOn w:val="DefaultParagraphFont"/>
    <w:uiPriority w:val="99"/>
    <w:unhideWhenUsed/>
    <w:rsid w:val="00544629"/>
    <w:rPr>
      <w:color w:val="0000FF"/>
      <w:u w:val="single"/>
    </w:rPr>
  </w:style>
  <w:style w:type="character" w:customStyle="1" w:styleId="otright">
    <w:name w:val="otright"/>
    <w:basedOn w:val="DefaultParagraphFont"/>
    <w:rsid w:val="00544629"/>
  </w:style>
  <w:style w:type="paragraph" w:styleId="BalloonText">
    <w:name w:val="Balloon Text"/>
    <w:basedOn w:val="Normal"/>
    <w:link w:val="BalloonTextChar"/>
    <w:uiPriority w:val="99"/>
    <w:semiHidden/>
    <w:unhideWhenUsed/>
    <w:rsid w:val="0054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9"/>
    <w:rPr>
      <w:rFonts w:ascii="Tahoma" w:hAnsi="Tahoma" w:cs="Tahoma"/>
      <w:sz w:val="16"/>
      <w:szCs w:val="16"/>
    </w:rPr>
  </w:style>
  <w:style w:type="character" w:styleId="FollowedHyperlink">
    <w:name w:val="FollowedHyperlink"/>
    <w:basedOn w:val="DefaultParagraphFont"/>
    <w:uiPriority w:val="99"/>
    <w:semiHidden/>
    <w:unhideWhenUsed/>
    <w:rsid w:val="00B72F39"/>
    <w:rPr>
      <w:color w:val="800080" w:themeColor="followedHyperlink"/>
      <w:u w:val="single"/>
    </w:rPr>
  </w:style>
  <w:style w:type="paragraph" w:styleId="EndnoteText">
    <w:name w:val="endnote text"/>
    <w:basedOn w:val="Normal"/>
    <w:link w:val="EndnoteTextChar"/>
    <w:uiPriority w:val="99"/>
    <w:semiHidden/>
    <w:unhideWhenUsed/>
    <w:rsid w:val="007A7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F50"/>
    <w:rPr>
      <w:sz w:val="20"/>
      <w:szCs w:val="20"/>
    </w:rPr>
  </w:style>
  <w:style w:type="character" w:styleId="EndnoteReference">
    <w:name w:val="endnote reference"/>
    <w:basedOn w:val="DefaultParagraphFont"/>
    <w:uiPriority w:val="99"/>
    <w:semiHidden/>
    <w:unhideWhenUsed/>
    <w:rsid w:val="007A7F50"/>
    <w:rPr>
      <w:vertAlign w:val="superscript"/>
    </w:rPr>
  </w:style>
  <w:style w:type="paragraph" w:styleId="FootnoteText">
    <w:name w:val="footnote text"/>
    <w:basedOn w:val="Normal"/>
    <w:link w:val="FootnoteTextChar"/>
    <w:uiPriority w:val="99"/>
    <w:unhideWhenUsed/>
    <w:rsid w:val="00431E30"/>
    <w:pPr>
      <w:spacing w:after="0" w:line="240" w:lineRule="auto"/>
    </w:pPr>
    <w:rPr>
      <w:sz w:val="20"/>
      <w:szCs w:val="20"/>
    </w:rPr>
  </w:style>
  <w:style w:type="character" w:customStyle="1" w:styleId="FootnoteTextChar">
    <w:name w:val="Footnote Text Char"/>
    <w:basedOn w:val="DefaultParagraphFont"/>
    <w:link w:val="FootnoteText"/>
    <w:uiPriority w:val="99"/>
    <w:rsid w:val="00431E30"/>
    <w:rPr>
      <w:sz w:val="20"/>
      <w:szCs w:val="20"/>
    </w:rPr>
  </w:style>
  <w:style w:type="character" w:styleId="FootnoteReference">
    <w:name w:val="footnote reference"/>
    <w:basedOn w:val="DefaultParagraphFont"/>
    <w:uiPriority w:val="99"/>
    <w:unhideWhenUsed/>
    <w:rsid w:val="00431E30"/>
    <w:rPr>
      <w:vertAlign w:val="superscript"/>
    </w:rPr>
  </w:style>
  <w:style w:type="paragraph" w:styleId="Header">
    <w:name w:val="header"/>
    <w:basedOn w:val="Normal"/>
    <w:link w:val="HeaderChar"/>
    <w:uiPriority w:val="99"/>
    <w:semiHidden/>
    <w:unhideWhenUsed/>
    <w:rsid w:val="00B77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ED1"/>
  </w:style>
  <w:style w:type="paragraph" w:styleId="Footer">
    <w:name w:val="footer"/>
    <w:basedOn w:val="Normal"/>
    <w:link w:val="FooterChar"/>
    <w:uiPriority w:val="99"/>
    <w:unhideWhenUsed/>
    <w:rsid w:val="00B7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age">
    <w:name w:val="opage"/>
    <w:basedOn w:val="DefaultParagraphFont"/>
    <w:rsid w:val="00544629"/>
  </w:style>
  <w:style w:type="character" w:styleId="Hyperlink">
    <w:name w:val="Hyperlink"/>
    <w:basedOn w:val="DefaultParagraphFont"/>
    <w:uiPriority w:val="99"/>
    <w:semiHidden/>
    <w:unhideWhenUsed/>
    <w:rsid w:val="00544629"/>
    <w:rPr>
      <w:color w:val="0000FF"/>
      <w:u w:val="single"/>
    </w:rPr>
  </w:style>
  <w:style w:type="character" w:customStyle="1" w:styleId="otright">
    <w:name w:val="otright"/>
    <w:basedOn w:val="DefaultParagraphFont"/>
    <w:rsid w:val="00544629"/>
  </w:style>
  <w:style w:type="paragraph" w:styleId="BalloonText">
    <w:name w:val="Balloon Text"/>
    <w:basedOn w:val="Normal"/>
    <w:link w:val="BalloonTextChar"/>
    <w:uiPriority w:val="99"/>
    <w:semiHidden/>
    <w:unhideWhenUsed/>
    <w:rsid w:val="0054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9"/>
    <w:rPr>
      <w:rFonts w:ascii="Tahoma" w:hAnsi="Tahoma" w:cs="Tahoma"/>
      <w:sz w:val="16"/>
      <w:szCs w:val="16"/>
    </w:rPr>
  </w:style>
  <w:style w:type="character" w:styleId="FollowedHyperlink">
    <w:name w:val="FollowedHyperlink"/>
    <w:basedOn w:val="DefaultParagraphFont"/>
    <w:uiPriority w:val="99"/>
    <w:semiHidden/>
    <w:unhideWhenUsed/>
    <w:rsid w:val="00B72F39"/>
    <w:rPr>
      <w:color w:val="800080" w:themeColor="followedHyperlink"/>
      <w:u w:val="single"/>
    </w:rPr>
  </w:style>
  <w:style w:type="paragraph" w:styleId="EndnoteText">
    <w:name w:val="endnote text"/>
    <w:basedOn w:val="Normal"/>
    <w:link w:val="EndnoteTextChar"/>
    <w:uiPriority w:val="99"/>
    <w:semiHidden/>
    <w:unhideWhenUsed/>
    <w:rsid w:val="007A7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F50"/>
    <w:rPr>
      <w:sz w:val="20"/>
      <w:szCs w:val="20"/>
    </w:rPr>
  </w:style>
  <w:style w:type="character" w:styleId="EndnoteReference">
    <w:name w:val="endnote reference"/>
    <w:basedOn w:val="DefaultParagraphFont"/>
    <w:uiPriority w:val="99"/>
    <w:semiHidden/>
    <w:unhideWhenUsed/>
    <w:rsid w:val="007A7F50"/>
    <w:rPr>
      <w:vertAlign w:val="superscript"/>
    </w:rPr>
  </w:style>
  <w:style w:type="paragraph" w:styleId="FootnoteText">
    <w:name w:val="footnote text"/>
    <w:basedOn w:val="Normal"/>
    <w:link w:val="FootnoteTextChar"/>
    <w:uiPriority w:val="99"/>
    <w:semiHidden/>
    <w:unhideWhenUsed/>
    <w:rsid w:val="00431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E30"/>
    <w:rPr>
      <w:sz w:val="20"/>
      <w:szCs w:val="20"/>
    </w:rPr>
  </w:style>
  <w:style w:type="character" w:styleId="FootnoteReference">
    <w:name w:val="footnote reference"/>
    <w:basedOn w:val="DefaultParagraphFont"/>
    <w:uiPriority w:val="99"/>
    <w:semiHidden/>
    <w:unhideWhenUsed/>
    <w:rsid w:val="00431E30"/>
    <w:rPr>
      <w:vertAlign w:val="superscript"/>
    </w:rPr>
  </w:style>
  <w:style w:type="paragraph" w:styleId="Header">
    <w:name w:val="header"/>
    <w:basedOn w:val="Normal"/>
    <w:link w:val="HeaderChar"/>
    <w:uiPriority w:val="99"/>
    <w:semiHidden/>
    <w:unhideWhenUsed/>
    <w:rsid w:val="00B77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ED1"/>
  </w:style>
  <w:style w:type="paragraph" w:styleId="Footer">
    <w:name w:val="footer"/>
    <w:basedOn w:val="Normal"/>
    <w:link w:val="FooterChar"/>
    <w:uiPriority w:val="99"/>
    <w:unhideWhenUsed/>
    <w:rsid w:val="00B7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365">
      <w:bodyDiv w:val="1"/>
      <w:marLeft w:val="0"/>
      <w:marRight w:val="0"/>
      <w:marTop w:val="0"/>
      <w:marBottom w:val="0"/>
      <w:divBdr>
        <w:top w:val="none" w:sz="0" w:space="0" w:color="auto"/>
        <w:left w:val="none" w:sz="0" w:space="0" w:color="auto"/>
        <w:bottom w:val="none" w:sz="0" w:space="0" w:color="auto"/>
        <w:right w:val="none" w:sz="0" w:space="0" w:color="auto"/>
      </w:divBdr>
      <w:divsChild>
        <w:div w:id="841313415">
          <w:marLeft w:val="0"/>
          <w:marRight w:val="0"/>
          <w:marTop w:val="0"/>
          <w:marBottom w:val="0"/>
          <w:divBdr>
            <w:top w:val="none" w:sz="0" w:space="0" w:color="auto"/>
            <w:left w:val="none" w:sz="0" w:space="0" w:color="auto"/>
            <w:bottom w:val="none" w:sz="0" w:space="0" w:color="auto"/>
            <w:right w:val="none" w:sz="0" w:space="0" w:color="auto"/>
          </w:divBdr>
        </w:div>
        <w:div w:id="406927034">
          <w:marLeft w:val="0"/>
          <w:marRight w:val="0"/>
          <w:marTop w:val="0"/>
          <w:marBottom w:val="0"/>
          <w:divBdr>
            <w:top w:val="none" w:sz="0" w:space="0" w:color="auto"/>
            <w:left w:val="none" w:sz="0" w:space="0" w:color="auto"/>
            <w:bottom w:val="none" w:sz="0" w:space="0" w:color="auto"/>
            <w:right w:val="none" w:sz="0" w:space="0" w:color="auto"/>
          </w:divBdr>
        </w:div>
        <w:div w:id="577831849">
          <w:marLeft w:val="0"/>
          <w:marRight w:val="0"/>
          <w:marTop w:val="0"/>
          <w:marBottom w:val="0"/>
          <w:divBdr>
            <w:top w:val="none" w:sz="0" w:space="0" w:color="auto"/>
            <w:left w:val="none" w:sz="0" w:space="0" w:color="auto"/>
            <w:bottom w:val="none" w:sz="0" w:space="0" w:color="auto"/>
            <w:right w:val="none" w:sz="0" w:space="0" w:color="auto"/>
          </w:divBdr>
        </w:div>
        <w:div w:id="1862821426">
          <w:marLeft w:val="0"/>
          <w:marRight w:val="0"/>
          <w:marTop w:val="0"/>
          <w:marBottom w:val="0"/>
          <w:divBdr>
            <w:top w:val="none" w:sz="0" w:space="0" w:color="auto"/>
            <w:left w:val="none" w:sz="0" w:space="0" w:color="auto"/>
            <w:bottom w:val="none" w:sz="0" w:space="0" w:color="auto"/>
            <w:right w:val="none" w:sz="0" w:space="0" w:color="auto"/>
          </w:divBdr>
        </w:div>
        <w:div w:id="904951566">
          <w:marLeft w:val="0"/>
          <w:marRight w:val="0"/>
          <w:marTop w:val="0"/>
          <w:marBottom w:val="0"/>
          <w:divBdr>
            <w:top w:val="none" w:sz="0" w:space="0" w:color="auto"/>
            <w:left w:val="none" w:sz="0" w:space="0" w:color="auto"/>
            <w:bottom w:val="none" w:sz="0" w:space="0" w:color="auto"/>
            <w:right w:val="none" w:sz="0" w:space="0" w:color="auto"/>
          </w:divBdr>
        </w:div>
      </w:divsChild>
    </w:div>
    <w:div w:id="1823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ack-mclean.com/articles/deification-of-jesu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3F78B8-1C9B-184C-9A75-96B94098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8640</Words>
  <Characters>49250</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McClean</dc:creator>
  <cp:lastModifiedBy>Jonah Winters</cp:lastModifiedBy>
  <cp:revision>20</cp:revision>
  <dcterms:created xsi:type="dcterms:W3CDTF">2022-04-17T11:00:00Z</dcterms:created>
  <dcterms:modified xsi:type="dcterms:W3CDTF">2022-04-20T02:11:00Z</dcterms:modified>
</cp:coreProperties>
</file>