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36CD" w:rsidRDefault="000136CD" w:rsidP="000136CD">
      <w:pPr>
        <w:pStyle w:val="Myheadc"/>
      </w:pPr>
    </w:p>
    <w:p w:rsidR="000136CD" w:rsidRDefault="00070E41" w:rsidP="000136CD">
      <w:pPr>
        <w:pStyle w:val="Myheadc"/>
        <w:rPr>
          <w:lang w:val="en-AU" w:eastAsia="en-AU"/>
        </w:rPr>
      </w:pPr>
      <w:r>
        <w:t xml:space="preserve">Status of Bahá’u’lláh during the </w:t>
      </w:r>
      <w:r w:rsidR="00CE7188">
        <w:t>Ministry</w:t>
      </w:r>
      <w:r>
        <w:t xml:space="preserve"> of the Báb</w:t>
      </w:r>
    </w:p>
    <w:p w:rsidR="000136CD" w:rsidRPr="00EF307B" w:rsidRDefault="000136CD" w:rsidP="000136CD">
      <w:pPr>
        <w:pStyle w:val="Myheadc"/>
        <w:spacing w:before="240" w:after="240"/>
        <w:rPr>
          <w:sz w:val="24"/>
          <w:szCs w:val="24"/>
          <w:lang w:val="en-AU" w:eastAsia="en-AU"/>
        </w:rPr>
      </w:pPr>
      <w:r w:rsidRPr="00EF307B">
        <w:rPr>
          <w:sz w:val="24"/>
          <w:szCs w:val="24"/>
          <w:lang w:val="en-AU" w:eastAsia="en-AU"/>
        </w:rPr>
        <w:t>Mike Thomas</w:t>
      </w:r>
    </w:p>
    <w:p w:rsidR="000136CD" w:rsidRPr="00EF307B" w:rsidRDefault="000136CD" w:rsidP="000136CD">
      <w:pPr>
        <w:pStyle w:val="Myheadc"/>
        <w:rPr>
          <w:b w:val="0"/>
          <w:bCs/>
          <w:sz w:val="22"/>
          <w:szCs w:val="22"/>
          <w:lang w:val="en-AU" w:eastAsia="en-AU"/>
        </w:rPr>
      </w:pPr>
      <w:r w:rsidRPr="00EF307B">
        <w:rPr>
          <w:b w:val="0"/>
          <w:bCs/>
          <w:sz w:val="22"/>
          <w:szCs w:val="22"/>
          <w:lang w:val="en-AU" w:eastAsia="en-AU"/>
        </w:rPr>
        <w:t>May, 2025</w:t>
      </w:r>
    </w:p>
    <w:p w:rsidR="00D763E5" w:rsidRPr="000136CD" w:rsidRDefault="00D763E5" w:rsidP="00CE7188">
      <w:pPr>
        <w:pStyle w:val="Myheadc"/>
        <w:rPr>
          <w:lang w:val="en-AU"/>
        </w:rPr>
      </w:pPr>
    </w:p>
    <w:p w:rsidR="00070E41" w:rsidRDefault="00414D4E" w:rsidP="00414D4E">
      <w:pPr>
        <w:pStyle w:val="Text"/>
      </w:pPr>
      <w:r>
        <w:t xml:space="preserve">The unique circumstance where two Messengers of God were physically present at the same time raises the question regarding the </w:t>
      </w:r>
      <w:r w:rsidR="00277B6C">
        <w:t>“</w:t>
      </w:r>
      <w:r>
        <w:t>status</w:t>
      </w:r>
      <w:r w:rsidR="00277B6C">
        <w:t>”</w:t>
      </w:r>
      <w:r>
        <w:t xml:space="preserve"> of the Supreme Manifestation prior to His declaration during the lifetime of the Báb.   </w:t>
      </w:r>
      <w:r w:rsidR="00070E41">
        <w:t xml:space="preserve">Although Bahá’u’lláh could be called a </w:t>
      </w:r>
      <w:r w:rsidR="00277B6C">
        <w:t>“</w:t>
      </w:r>
      <w:r w:rsidR="00070E41">
        <w:t>follower</w:t>
      </w:r>
      <w:r w:rsidR="00277B6C">
        <w:t>”</w:t>
      </w:r>
      <w:r w:rsidR="00070E41">
        <w:t xml:space="preserve"> </w:t>
      </w:r>
      <w:r>
        <w:t xml:space="preserve">and a </w:t>
      </w:r>
      <w:r w:rsidR="00277B6C">
        <w:t>“</w:t>
      </w:r>
      <w:r w:rsidR="00070E41">
        <w:t>disciple</w:t>
      </w:r>
      <w:r w:rsidR="00277B6C">
        <w:t>”</w:t>
      </w:r>
      <w:r w:rsidR="00070E41">
        <w:t xml:space="preserve"> of the Báb</w:t>
      </w:r>
      <w:r>
        <w:t xml:space="preserve"> during that time</w:t>
      </w:r>
      <w:r w:rsidR="00070E41">
        <w:t xml:space="preserve">, a better mind-set is promoted if Bahá’u’lláh is acknowledged as a </w:t>
      </w:r>
      <w:r w:rsidR="00277B6C">
        <w:t>“</w:t>
      </w:r>
      <w:r w:rsidR="00070E41">
        <w:t>supporter</w:t>
      </w:r>
      <w:r w:rsidR="00277B6C">
        <w:t>”</w:t>
      </w:r>
      <w:r w:rsidR="00070E41">
        <w:t xml:space="preserve"> and a </w:t>
      </w:r>
      <w:r w:rsidR="00277B6C">
        <w:t>“</w:t>
      </w:r>
      <w:r w:rsidR="00070E41">
        <w:t>promoter</w:t>
      </w:r>
      <w:r w:rsidR="00277B6C">
        <w:t>”</w:t>
      </w:r>
      <w:r w:rsidR="00070E41">
        <w:t xml:space="preserve"> of the Bábí Faith.</w:t>
      </w:r>
    </w:p>
    <w:p w:rsidR="000B0447" w:rsidRDefault="000B0447" w:rsidP="00414D4E">
      <w:pPr>
        <w:pStyle w:val="Quote"/>
      </w:pPr>
      <w:r>
        <w:t>He [Bahá’u’lláh] it was Who, scarce three months after the [Bábí] Faith was born, received, through the envoy of the Báb, Mull</w:t>
      </w:r>
      <w:r w:rsidRPr="000B0447">
        <w:t>á</w:t>
      </w:r>
      <w:r>
        <w:t xml:space="preserve"> </w:t>
      </w:r>
      <w:r w:rsidRPr="000B0447">
        <w:t>Ḥ</w:t>
      </w:r>
      <w:r>
        <w:t xml:space="preserve">usayn, the scroll which bore to Him the first tidings of a newly announced Revelation, Who instantly acclaimed its truth, and </w:t>
      </w:r>
      <w:r w:rsidRPr="00070E41">
        <w:rPr>
          <w:highlight w:val="yellow"/>
        </w:rPr>
        <w:t>arose to champion its cause</w:t>
      </w:r>
      <w:r>
        <w:t xml:space="preserve">.  (Shoghi Effendi, </w:t>
      </w:r>
      <w:r w:rsidRPr="00296A53">
        <w:rPr>
          <w:i/>
          <w:iCs w:val="0"/>
        </w:rPr>
        <w:t>God Passes By</w:t>
      </w:r>
      <w:r>
        <w:t>, pp. 66–7)</w:t>
      </w:r>
    </w:p>
    <w:p w:rsidR="000B0447" w:rsidRDefault="000B0447" w:rsidP="00414D4E">
      <w:pPr>
        <w:pStyle w:val="Quote"/>
      </w:pPr>
      <w:r>
        <w:t>It was He [Bahá’u’lláh] Who, through His correspondence with the Author [Báb] of the newly founded Faith, and His intimate association with the most distinguished amongst its disciples, such as Vaḥíd, Ḥujjat, Quddús, Mull</w:t>
      </w:r>
      <w:r w:rsidRPr="000B0447">
        <w:t>á</w:t>
      </w:r>
      <w:r>
        <w:t xml:space="preserve"> </w:t>
      </w:r>
      <w:r w:rsidRPr="000B0447">
        <w:t>Ḥ</w:t>
      </w:r>
      <w:r>
        <w:t xml:space="preserve">usayn and </w:t>
      </w:r>
      <w:r w:rsidRPr="000B0447">
        <w:t>Ṭ</w:t>
      </w:r>
      <w:r>
        <w:t xml:space="preserve">áhirih, was able to </w:t>
      </w:r>
      <w:r w:rsidRPr="00070E41">
        <w:rPr>
          <w:highlight w:val="yellow"/>
        </w:rPr>
        <w:t xml:space="preserve">foster its growth, elucidate its principles, reinforce its ethical foundations, </w:t>
      </w:r>
      <w:proofErr w:type="spellStart"/>
      <w:r w:rsidRPr="00070E41">
        <w:rPr>
          <w:highlight w:val="yellow"/>
        </w:rPr>
        <w:t>fulfill</w:t>
      </w:r>
      <w:proofErr w:type="spellEnd"/>
      <w:r w:rsidRPr="00070E41">
        <w:rPr>
          <w:highlight w:val="yellow"/>
        </w:rPr>
        <w:t xml:space="preserve"> its urgent requirements, avert some of the immediate dangers threatening it and participate effectually in its rise and consolidation</w:t>
      </w:r>
      <w:r>
        <w:t xml:space="preserve">.  (Shoghi Effendi, </w:t>
      </w:r>
      <w:r w:rsidRPr="00296A53">
        <w:rPr>
          <w:i/>
          <w:iCs w:val="0"/>
        </w:rPr>
        <w:t>God Passes By</w:t>
      </w:r>
      <w:r>
        <w:t>, p. 67)</w:t>
      </w:r>
    </w:p>
    <w:p w:rsidR="000B0447" w:rsidRDefault="000B0447" w:rsidP="00272B41">
      <w:pPr>
        <w:pStyle w:val="Text"/>
      </w:pPr>
      <w:r>
        <w:t xml:space="preserve">Described </w:t>
      </w:r>
      <w:r w:rsidR="009C641A">
        <w:t>by</w:t>
      </w:r>
      <w:r>
        <w:t xml:space="preserve"> </w:t>
      </w:r>
      <w:r w:rsidR="009C641A">
        <w:t xml:space="preserve">the </w:t>
      </w:r>
      <w:r>
        <w:t xml:space="preserve">Báb </w:t>
      </w:r>
      <w:r w:rsidR="009C641A">
        <w:t xml:space="preserve">as His </w:t>
      </w:r>
      <w:r w:rsidR="00277B6C">
        <w:t>“</w:t>
      </w:r>
      <w:r w:rsidR="00D82FAA">
        <w:t>B</w:t>
      </w:r>
      <w:r>
        <w:t>eloved</w:t>
      </w:r>
      <w:r w:rsidR="00277B6C">
        <w:t>”</w:t>
      </w:r>
      <w:r w:rsidR="009C641A">
        <w:t xml:space="preserve">.  (Shoghi Effendi, </w:t>
      </w:r>
      <w:r w:rsidR="009C641A" w:rsidRPr="00296A53">
        <w:rPr>
          <w:i/>
          <w:iCs/>
        </w:rPr>
        <w:t>God Passes By</w:t>
      </w:r>
      <w:r w:rsidR="009C641A">
        <w:t>, p. 67)</w:t>
      </w:r>
      <w:r w:rsidR="00D82FAA">
        <w:t xml:space="preserve">  Other expressions are </w:t>
      </w:r>
      <w:r w:rsidR="00277B6C">
        <w:t>“</w:t>
      </w:r>
      <w:r w:rsidR="00D82FAA">
        <w:t>promised Bel0ved</w:t>
      </w:r>
      <w:r w:rsidR="00277B6C">
        <w:t>”</w:t>
      </w:r>
      <w:r w:rsidR="00D82FAA">
        <w:t xml:space="preserve"> </w:t>
      </w:r>
      <w:r w:rsidR="00E01FC3">
        <w:t xml:space="preserve">and </w:t>
      </w:r>
      <w:r w:rsidR="00277B6C">
        <w:t>“</w:t>
      </w:r>
      <w:r w:rsidR="00D82FAA">
        <w:t>Beloved One of God</w:t>
      </w:r>
      <w:r w:rsidR="00277B6C">
        <w:t>”</w:t>
      </w:r>
      <w:r w:rsidR="00D82FAA">
        <w:t>.</w:t>
      </w:r>
    </w:p>
    <w:p w:rsidR="009C641A" w:rsidRDefault="009C641A" w:rsidP="00414D4E">
      <w:pPr>
        <w:pStyle w:val="Quote"/>
      </w:pPr>
      <w:r>
        <w:t xml:space="preserve">He [Bahá’u’lláh] it was Who, in the hey-day of His life, flinging aside every consideration of earthly fame, wealth and position, careless of danger, and risking the obloquy of His caste, </w:t>
      </w:r>
      <w:r w:rsidRPr="00070E41">
        <w:rPr>
          <w:highlight w:val="yellow"/>
        </w:rPr>
        <w:t>arose to identify Himself</w:t>
      </w:r>
      <w:r>
        <w:t xml:space="preserve">, first in Ṭihrán and later in His native province of Mázindarán, </w:t>
      </w:r>
      <w:r w:rsidRPr="00070E41">
        <w:rPr>
          <w:highlight w:val="yellow"/>
        </w:rPr>
        <w:t>with the cause of an obscure and proscribed sect</w:t>
      </w:r>
      <w:r>
        <w:t>; won to its support a large number of the officials and notables of Núr, not excluding His own associates and relatives; fearlessly and persuasively expounded its truths to the disciples of the illustrious mujtahid, Mull</w:t>
      </w:r>
      <w:r w:rsidRPr="009C641A">
        <w:t>á</w:t>
      </w:r>
      <w:r>
        <w:t xml:space="preserve"> Mu</w:t>
      </w:r>
      <w:r w:rsidRPr="009C641A">
        <w:t>ḥ</w:t>
      </w:r>
      <w:r>
        <w:t>ammad; enlisted under its banner the mujtahid's appointed representatives; secured, in consequence of this act, the unreserved loyalty of a considerable number of ecclesiastical dignitaries, government officers, peasants and traders; and succeeded in challenging, in the course of a memorable interview, the mujtahid himself.  It was solely due to the potency of the written message entrusted by Him to Mull</w:t>
      </w:r>
      <w:r w:rsidRPr="009C641A">
        <w:t>á</w:t>
      </w:r>
      <w:r>
        <w:t xml:space="preserve"> Mu</w:t>
      </w:r>
      <w:r w:rsidRPr="009C641A">
        <w:t>ḥ</w:t>
      </w:r>
      <w:r>
        <w:t>ammad Mihdíy-i-Kand</w:t>
      </w:r>
      <w:r w:rsidRPr="009C641A">
        <w:t>í</w:t>
      </w:r>
      <w:r>
        <w:t xml:space="preserve"> and delivered to the Báb while in the </w:t>
      </w:r>
      <w:proofErr w:type="spellStart"/>
      <w:r>
        <w:t>neighborhood</w:t>
      </w:r>
      <w:proofErr w:type="spellEnd"/>
      <w:r>
        <w:t xml:space="preserve"> of the village of </w:t>
      </w:r>
      <w:proofErr w:type="spellStart"/>
      <w:r>
        <w:t>Kulayn</w:t>
      </w:r>
      <w:proofErr w:type="spellEnd"/>
      <w:r>
        <w:t xml:space="preserve">, that the soul of the disappointed Captive [Báb] was able to rid itself, at an hour of uncertainty and suspense, of the anguish that had settled upon it ever since His arrest in </w:t>
      </w:r>
      <w:r w:rsidRPr="009C641A">
        <w:rPr>
          <w:u w:val="single"/>
        </w:rPr>
        <w:t>Sh</w:t>
      </w:r>
      <w:r w:rsidRPr="009C641A">
        <w:t>í</w:t>
      </w:r>
      <w:r>
        <w:t xml:space="preserve">ráz.  (Shoghi Effendi, </w:t>
      </w:r>
      <w:r w:rsidRPr="00296A53">
        <w:rPr>
          <w:i/>
          <w:iCs w:val="0"/>
        </w:rPr>
        <w:t>God Passes By</w:t>
      </w:r>
      <w:r>
        <w:t>, pp. 67–8)</w:t>
      </w:r>
    </w:p>
    <w:p w:rsidR="00070E41" w:rsidRDefault="00070E41" w:rsidP="00414D4E">
      <w:pPr>
        <w:pStyle w:val="Quote"/>
      </w:pPr>
      <w:r>
        <w:t xml:space="preserve">What, we may well pause to consider, were the claims of Him Who, Himself a </w:t>
      </w:r>
      <w:r w:rsidRPr="00070E41">
        <w:rPr>
          <w:highlight w:val="yellow"/>
        </w:rPr>
        <w:t>disciple of the Báb</w:t>
      </w:r>
      <w:r>
        <w:t xml:space="preserve">, had, at such an early stage, regarded Himself as empowered to abrogate the Law identified with His beloved Master? (Shoghi Effendi, </w:t>
      </w:r>
      <w:r w:rsidRPr="00296A53">
        <w:rPr>
          <w:i/>
          <w:iCs w:val="0"/>
        </w:rPr>
        <w:t>God Passes By</w:t>
      </w:r>
      <w:r>
        <w:t>, p. 93)</w:t>
      </w:r>
    </w:p>
    <w:p w:rsidR="00070E41" w:rsidRDefault="00070E41" w:rsidP="00277B6C">
      <w:pPr>
        <w:pStyle w:val="Quote"/>
      </w:pPr>
      <w:r>
        <w:t xml:space="preserve">With it, may be said to have begun the last and most fruitful of the four stages of a life, the first twenty-seven years of which were characterized by the care-free enjoyment of all the advantages conferred by high birth and riches, and by an unfailing solicitude for the interests of the poor, the sick and the down-trodden; followed by nine years of active and </w:t>
      </w:r>
      <w:r w:rsidRPr="00070E41">
        <w:rPr>
          <w:highlight w:val="yellow"/>
        </w:rPr>
        <w:t xml:space="preserve">exemplary discipleship in the service of the </w:t>
      </w:r>
      <w:r w:rsidRPr="00277B6C">
        <w:rPr>
          <w:highlight w:val="yellow"/>
        </w:rPr>
        <w:t>B</w:t>
      </w:r>
      <w:r w:rsidR="00277B6C" w:rsidRPr="00277B6C">
        <w:rPr>
          <w:sz w:val="18"/>
          <w:highlight w:val="yellow"/>
        </w:rPr>
        <w:t>á</w:t>
      </w:r>
      <w:r w:rsidRPr="00277B6C">
        <w:rPr>
          <w:highlight w:val="yellow"/>
        </w:rPr>
        <w:t>b</w:t>
      </w:r>
      <w:r>
        <w:t xml:space="preserve">; and finally by an imprisonment of four months' duration, overshadowed throughout by mortal peril, embittered by agonizing sorrows, and immortalized, as it drew to a close, by the sudden eruption of the forces released by an overpowering, soul-revolutionizing Revelation. (Shoghi Effendi, </w:t>
      </w:r>
      <w:r w:rsidRPr="00296A53">
        <w:rPr>
          <w:i/>
          <w:iCs w:val="0"/>
        </w:rPr>
        <w:t>God Passes By</w:t>
      </w:r>
      <w:r>
        <w:t>, p. 107)</w:t>
      </w:r>
    </w:p>
    <w:p w:rsidR="004334C4" w:rsidRPr="004334C4" w:rsidRDefault="004334C4" w:rsidP="004334C4">
      <w:pPr>
        <w:pStyle w:val="Quote"/>
      </w:pPr>
      <w:r w:rsidRPr="004334C4">
        <w:t xml:space="preserve">During the seven years that elapsed between the resumption of His </w:t>
      </w:r>
      <w:proofErr w:type="spellStart"/>
      <w:r w:rsidRPr="004334C4">
        <w:t>labors</w:t>
      </w:r>
      <w:proofErr w:type="spellEnd"/>
      <w:r w:rsidRPr="004334C4">
        <w:t xml:space="preserve"> and the declaration of His prophetic mission</w:t>
      </w:r>
      <w:r>
        <w:t>—</w:t>
      </w:r>
      <w:r w:rsidRPr="004334C4">
        <w:t>years to which we now direct our attention</w:t>
      </w:r>
      <w:r>
        <w:t>—</w:t>
      </w:r>
      <w:r w:rsidRPr="004334C4">
        <w:t xml:space="preserve">it would be no exaggeration to say that the Bahá'í community, under the name and in the shape of a re-arisen Bábí community was born and was slowly taking shape, though its Creator still </w:t>
      </w:r>
      <w:r w:rsidRPr="004334C4">
        <w:rPr>
          <w:highlight w:val="yellow"/>
        </w:rPr>
        <w:t>appeared in the guise of</w:t>
      </w:r>
      <w:r w:rsidRPr="004334C4">
        <w:t xml:space="preserve">, and continued </w:t>
      </w:r>
      <w:r w:rsidRPr="004334C4">
        <w:rPr>
          <w:highlight w:val="yellow"/>
        </w:rPr>
        <w:t xml:space="preserve">to </w:t>
      </w:r>
      <w:proofErr w:type="spellStart"/>
      <w:r w:rsidRPr="004334C4">
        <w:rPr>
          <w:highlight w:val="yellow"/>
        </w:rPr>
        <w:t>labor</w:t>
      </w:r>
      <w:proofErr w:type="spellEnd"/>
      <w:r w:rsidRPr="004334C4">
        <w:rPr>
          <w:highlight w:val="yellow"/>
        </w:rPr>
        <w:t xml:space="preserve"> as</w:t>
      </w:r>
      <w:r w:rsidRPr="004334C4">
        <w:t xml:space="preserve">, one of the </w:t>
      </w:r>
      <w:r w:rsidRPr="004334C4">
        <w:rPr>
          <w:highlight w:val="yellow"/>
        </w:rPr>
        <w:t>foremost disciples of the Báb</w:t>
      </w:r>
      <w:r w:rsidRPr="004334C4">
        <w:t>.</w:t>
      </w:r>
      <w:r>
        <w:t xml:space="preserve"> </w:t>
      </w:r>
      <w:r w:rsidRPr="004334C4">
        <w:t>(Shoghi Effendi,</w:t>
      </w:r>
      <w:r w:rsidRPr="00296A53">
        <w:rPr>
          <w:i/>
          <w:iCs w:val="0"/>
        </w:rPr>
        <w:t xml:space="preserve"> God Passes By</w:t>
      </w:r>
      <w:r w:rsidRPr="004334C4">
        <w:t>, p. 128)</w:t>
      </w:r>
    </w:p>
    <w:p w:rsidR="004334C4" w:rsidRDefault="004334C4" w:rsidP="005B518C">
      <w:pPr>
        <w:rPr>
          <w:i/>
          <w:iCs/>
        </w:rPr>
      </w:pPr>
    </w:p>
    <w:p w:rsidR="00296A53" w:rsidRDefault="00296A53" w:rsidP="005B518C">
      <w:pPr>
        <w:rPr>
          <w:i/>
          <w:iCs/>
        </w:rPr>
      </w:pPr>
      <w:r>
        <w:rPr>
          <w:i/>
          <w:iCs/>
        </w:rPr>
        <w:t>The Dawn-Breakers</w:t>
      </w:r>
    </w:p>
    <w:p w:rsidR="00296A53" w:rsidRPr="00296A53" w:rsidRDefault="00296A53" w:rsidP="00296A53">
      <w:pPr>
        <w:pStyle w:val="Quote"/>
        <w:rPr>
          <w:i/>
          <w:iCs w:val="0"/>
        </w:rPr>
      </w:pPr>
      <w:r w:rsidRPr="000771B2">
        <w:t>He was in the heyday of</w:t>
      </w:r>
      <w:r>
        <w:t xml:space="preserve"> </w:t>
      </w:r>
      <w:r w:rsidRPr="000771B2">
        <w:t xml:space="preserve">His life when the call from </w:t>
      </w:r>
      <w:r w:rsidRPr="000771B2">
        <w:rPr>
          <w:u w:val="single"/>
        </w:rPr>
        <w:t>Sh</w:t>
      </w:r>
      <w:r w:rsidRPr="000771B2">
        <w:t>íráz reached Him.  At the age</w:t>
      </w:r>
      <w:r>
        <w:t xml:space="preserve"> </w:t>
      </w:r>
      <w:r w:rsidRPr="000771B2">
        <w:t>of twenty-seven, He arose to consecrate His life to its service,</w:t>
      </w:r>
      <w:r>
        <w:t xml:space="preserve"> </w:t>
      </w:r>
      <w:r w:rsidRPr="000771B2">
        <w:t>fearlessly identified Himself with its teachings, and distinguished Himself by the exemplary part He played in its</w:t>
      </w:r>
      <w:r>
        <w:t xml:space="preserve"> </w:t>
      </w:r>
      <w:r w:rsidRPr="000771B2">
        <w:t>diffusion.  No effort was too great for the energy with which</w:t>
      </w:r>
      <w:r>
        <w:t xml:space="preserve"> </w:t>
      </w:r>
      <w:r w:rsidRPr="000771B2">
        <w:t>He was endowed, and no sacrifice too woeful for the devotion</w:t>
      </w:r>
      <w:r>
        <w:t xml:space="preserve"> </w:t>
      </w:r>
      <w:r w:rsidRPr="000771B2">
        <w:t>with which His faith had inspired Him.  He flung aside every</w:t>
      </w:r>
      <w:r>
        <w:t xml:space="preserve"> </w:t>
      </w:r>
      <w:r w:rsidRPr="000771B2">
        <w:t>consideration of fame, of wealth, and position, for the prosecution of the task He had set His heart to achieve.  Neither</w:t>
      </w:r>
      <w:r>
        <w:t xml:space="preserve"> </w:t>
      </w:r>
      <w:r w:rsidRPr="000771B2">
        <w:t>the taunts of His friends nor the threats of His enemies could</w:t>
      </w:r>
      <w:r>
        <w:t xml:space="preserve"> </w:t>
      </w:r>
      <w:r w:rsidRPr="000771B2">
        <w:t>induce Him to cease championing a Cause which they alike</w:t>
      </w:r>
      <w:r>
        <w:t xml:space="preserve"> </w:t>
      </w:r>
      <w:r w:rsidRPr="000771B2">
        <w:t>regarded as that of an obscure and proscribed sect.</w:t>
      </w:r>
      <w:r>
        <w:t xml:space="preserve"> (p. 376)</w:t>
      </w:r>
    </w:p>
    <w:p w:rsidR="00296A53" w:rsidRDefault="00296A53" w:rsidP="005B518C">
      <w:pPr>
        <w:rPr>
          <w:i/>
          <w:iCs/>
        </w:rPr>
      </w:pPr>
    </w:p>
    <w:p w:rsidR="00637BA5" w:rsidRDefault="00D763E5" w:rsidP="005B518C">
      <w:r w:rsidRPr="00E474EA">
        <w:rPr>
          <w:i/>
          <w:iCs/>
        </w:rPr>
        <w:t>Gate of the Heart</w:t>
      </w:r>
      <w:r w:rsidR="005B518C" w:rsidRPr="005B518C">
        <w:t xml:space="preserve">, Nader </w:t>
      </w:r>
      <w:proofErr w:type="spellStart"/>
      <w:r w:rsidR="005B518C" w:rsidRPr="005B518C">
        <w:t>Saiedi</w:t>
      </w:r>
      <w:proofErr w:type="spellEnd"/>
    </w:p>
    <w:p w:rsidR="00D763E5" w:rsidRDefault="00D763E5" w:rsidP="00414D4E">
      <w:pPr>
        <w:pStyle w:val="Quote"/>
      </w:pPr>
      <w:r w:rsidRPr="00905851">
        <w:t>In</w:t>
      </w:r>
      <w:r>
        <w:t xml:space="preserve"> </w:t>
      </w:r>
      <w:r w:rsidRPr="00905851">
        <w:t xml:space="preserve">1863 one of the </w:t>
      </w:r>
      <w:r w:rsidRPr="00905851">
        <w:rPr>
          <w:rFonts w:eastAsia="Arial"/>
        </w:rPr>
        <w:t>B</w:t>
      </w:r>
      <w:r w:rsidRPr="00905851">
        <w:t>á</w:t>
      </w:r>
      <w:r w:rsidRPr="00905851">
        <w:rPr>
          <w:rFonts w:eastAsia="Arial"/>
        </w:rPr>
        <w:t>b</w:t>
      </w:r>
      <w:r w:rsidRPr="00905851">
        <w:t>’s f</w:t>
      </w:r>
      <w:r w:rsidRPr="00EB058E">
        <w:rPr>
          <w:highlight w:val="yellow"/>
        </w:rPr>
        <w:t>ollowers</w:t>
      </w:r>
      <w:r w:rsidRPr="00905851">
        <w:t>, Mírzá Ḥusayn ‘Alíy-i-Núrí, Bahá’u’lláh,</w:t>
      </w:r>
      <w:r>
        <w:t xml:space="preserve"> </w:t>
      </w:r>
      <w:r w:rsidRPr="00905851">
        <w:t>would publicly claim to be that Promised One.</w:t>
      </w:r>
      <w:r>
        <w:t xml:space="preserve"> (p. 1)</w:t>
      </w:r>
    </w:p>
    <w:p w:rsidR="00C02E3C" w:rsidRDefault="00C02E3C" w:rsidP="00414D4E">
      <w:pPr>
        <w:pStyle w:val="Quote"/>
      </w:pPr>
      <w:r w:rsidRPr="00905851">
        <w:t xml:space="preserve">This unusual pattern is only understandable when we regard the Revelations of the </w:t>
      </w:r>
      <w:r w:rsidRPr="00905851">
        <w:rPr>
          <w:rFonts w:eastAsia="Arial"/>
        </w:rPr>
        <w:t>B</w:t>
      </w:r>
      <w:r w:rsidRPr="00905851">
        <w:t>á</w:t>
      </w:r>
      <w:r w:rsidRPr="00905851">
        <w:rPr>
          <w:rFonts w:eastAsia="Arial"/>
        </w:rPr>
        <w:t>b</w:t>
      </w:r>
      <w:r>
        <w:rPr>
          <w:rFonts w:eastAsia="Arial"/>
        </w:rPr>
        <w:t xml:space="preserve"> </w:t>
      </w:r>
      <w:r w:rsidRPr="00905851">
        <w:t>and Bahá’u’lláh as inseparable Twin Revelations, where the former had</w:t>
      </w:r>
      <w:r>
        <w:t xml:space="preserve"> </w:t>
      </w:r>
      <w:r w:rsidRPr="00905851">
        <w:t>as its central purpose the preparation of the people for the latter.  This</w:t>
      </w:r>
      <w:r>
        <w:t xml:space="preserve"> </w:t>
      </w:r>
      <w:r w:rsidRPr="00905851">
        <w:t>unique structure also supports the thesis that the advent of Him Whom</w:t>
      </w:r>
      <w:r>
        <w:t xml:space="preserve"> </w:t>
      </w:r>
      <w:r w:rsidRPr="00905851">
        <w:t>God shall make manifest was imminent.</w:t>
      </w:r>
    </w:p>
    <w:p w:rsidR="00D763E5" w:rsidRDefault="00C02E3C" w:rsidP="00414D4E">
      <w:pPr>
        <w:pStyle w:val="Quote"/>
      </w:pPr>
      <w:r w:rsidRPr="00905851">
        <w:t xml:space="preserve">Various writings of the </w:t>
      </w:r>
      <w:r w:rsidRPr="00905851">
        <w:rPr>
          <w:rFonts w:eastAsia="Arial"/>
        </w:rPr>
        <w:t>B</w:t>
      </w:r>
      <w:r w:rsidRPr="00905851">
        <w:t>á</w:t>
      </w:r>
      <w:r w:rsidRPr="00905851">
        <w:rPr>
          <w:rFonts w:eastAsia="Arial"/>
        </w:rPr>
        <w:t>b</w:t>
      </w:r>
      <w:r w:rsidRPr="00905851">
        <w:t xml:space="preserve"> distinctly affirm this imminence and even</w:t>
      </w:r>
      <w:r>
        <w:t xml:space="preserve"> </w:t>
      </w:r>
      <w:r w:rsidRPr="00905851">
        <w:t>indicate when the promised advent would occur.  In the Arabic Bayán</w:t>
      </w:r>
      <w:r>
        <w:t xml:space="preserve"> </w:t>
      </w:r>
      <w:r w:rsidRPr="00905851">
        <w:t xml:space="preserve">He says, </w:t>
      </w:r>
      <w:r w:rsidR="00277B6C">
        <w:t>“</w:t>
      </w:r>
      <w:r w:rsidRPr="00905851">
        <w:t>Rise ye all when ye hear the name of Him Whom We shall make</w:t>
      </w:r>
      <w:r>
        <w:t xml:space="preserve"> </w:t>
      </w:r>
      <w:r w:rsidRPr="00905851">
        <w:t>manifest in the name of the Qá’im.  Observe the difference between</w:t>
      </w:r>
      <w:r>
        <w:t xml:space="preserve"> </w:t>
      </w:r>
      <w:r w:rsidRPr="00905851">
        <w:t>‘Qá’im’ and ‘Qayyúm’</w:t>
      </w:r>
      <w:r>
        <w:t>,</w:t>
      </w:r>
      <w:r w:rsidRPr="00905851">
        <w:t xml:space="preserve"> then in the year nine ye shall attain unto all </w:t>
      </w:r>
      <w:r w:rsidRPr="00905851">
        <w:rPr>
          <w:rFonts w:eastAsia="Arial"/>
        </w:rPr>
        <w:t>good.</w:t>
      </w:r>
      <w:r w:rsidR="00277B6C">
        <w:rPr>
          <w:rFonts w:eastAsia="Arial"/>
        </w:rPr>
        <w:t>”</w:t>
      </w:r>
      <w:r w:rsidR="003E3AD0">
        <w:rPr>
          <w:rFonts w:eastAsia="Arial"/>
        </w:rPr>
        <w:t xml:space="preserve"> </w:t>
      </w:r>
      <w:r w:rsidRPr="00905851">
        <w:rPr>
          <w:rFonts w:eastAsia="Arial"/>
        </w:rPr>
        <w:t>[</w:t>
      </w:r>
      <w:r>
        <w:rPr>
          <w:rFonts w:eastAsia="Arial"/>
        </w:rPr>
        <w:t>The Báb, Arabic Bayan, 6:15</w:t>
      </w:r>
      <w:r w:rsidRPr="00905851">
        <w:rPr>
          <w:rFonts w:eastAsia="Arial"/>
        </w:rPr>
        <w:t>]</w:t>
      </w:r>
      <w:r>
        <w:rPr>
          <w:rFonts w:eastAsia="Arial"/>
        </w:rPr>
        <w:t xml:space="preserve"> </w:t>
      </w:r>
      <w:r>
        <w:t>(p. 344)</w:t>
      </w:r>
    </w:p>
    <w:p w:rsidR="00EC0FE8" w:rsidRDefault="00EC0FE8" w:rsidP="00414D4E">
      <w:pPr>
        <w:pStyle w:val="Quote"/>
      </w:pPr>
      <w:r w:rsidRPr="00905851">
        <w:t xml:space="preserve">His </w:t>
      </w:r>
      <w:r>
        <w:t xml:space="preserve">[Bahá’u’lláh’s] </w:t>
      </w:r>
      <w:r w:rsidRPr="00905851">
        <w:t>identity was kept secret during</w:t>
      </w:r>
      <w:r>
        <w:t xml:space="preserve"> </w:t>
      </w:r>
      <w:r w:rsidRPr="00905851">
        <w:t xml:space="preserve">the reign of Grand Vizier Mírzá </w:t>
      </w:r>
      <w:proofErr w:type="spellStart"/>
      <w:r w:rsidRPr="00905851">
        <w:t>Taqí</w:t>
      </w:r>
      <w:proofErr w:type="spellEnd"/>
      <w:r w:rsidRPr="00905851">
        <w:t xml:space="preserve"> </w:t>
      </w:r>
      <w:r w:rsidRPr="00905851">
        <w:rPr>
          <w:u w:val="single"/>
        </w:rPr>
        <w:t>Kh</w:t>
      </w:r>
      <w:r w:rsidRPr="00905851">
        <w:t xml:space="preserve">án, </w:t>
      </w:r>
      <w:proofErr w:type="spellStart"/>
      <w:r w:rsidRPr="00905851">
        <w:t>Amír</w:t>
      </w:r>
      <w:proofErr w:type="spellEnd"/>
      <w:r w:rsidRPr="00905851">
        <w:t xml:space="preserve"> </w:t>
      </w:r>
      <w:proofErr w:type="spellStart"/>
      <w:r w:rsidRPr="00905851">
        <w:t>Kabír</w:t>
      </w:r>
      <w:proofErr w:type="spellEnd"/>
      <w:r w:rsidRPr="00905851">
        <w:t>, who would have</w:t>
      </w:r>
      <w:r>
        <w:t xml:space="preserve"> </w:t>
      </w:r>
      <w:r w:rsidRPr="00905851">
        <w:t xml:space="preserve">killed Bahá’u’lláh had he discovered the </w:t>
      </w:r>
      <w:r w:rsidRPr="00EB058E">
        <w:rPr>
          <w:highlight w:val="yellow"/>
        </w:rPr>
        <w:t>real station</w:t>
      </w:r>
      <w:r w:rsidRPr="00905851">
        <w:t xml:space="preserve"> He held in the </w:t>
      </w:r>
      <w:r w:rsidRPr="00905851">
        <w:rPr>
          <w:rFonts w:eastAsia="Arial"/>
        </w:rPr>
        <w:t>B</w:t>
      </w:r>
      <w:r w:rsidRPr="00905851">
        <w:t>á</w:t>
      </w:r>
      <w:r w:rsidRPr="00905851">
        <w:rPr>
          <w:rFonts w:eastAsia="Arial"/>
        </w:rPr>
        <w:t>b</w:t>
      </w:r>
      <w:r w:rsidRPr="00905851">
        <w:t>í</w:t>
      </w:r>
      <w:r>
        <w:t xml:space="preserve"> </w:t>
      </w:r>
      <w:r w:rsidRPr="00905851">
        <w:t>community.</w:t>
      </w:r>
      <w:r>
        <w:t xml:space="preserve"> (p. 349)</w:t>
      </w:r>
    </w:p>
    <w:p w:rsidR="00AC215F" w:rsidRDefault="00AC215F" w:rsidP="00414D4E">
      <w:pPr>
        <w:pStyle w:val="Quote"/>
      </w:pPr>
      <w:r>
        <w:t xml:space="preserve">Was it not He Who, at the early age of twenty-seven, spontaneously arose to </w:t>
      </w:r>
      <w:r w:rsidRPr="00AC215F">
        <w:rPr>
          <w:highlight w:val="yellow"/>
        </w:rPr>
        <w:t>champion</w:t>
      </w:r>
      <w:r>
        <w:t xml:space="preserve">, in the </w:t>
      </w:r>
      <w:r w:rsidRPr="00AC215F">
        <w:rPr>
          <w:highlight w:val="yellow"/>
        </w:rPr>
        <w:t>capacity of a mere follower</w:t>
      </w:r>
      <w:r>
        <w:t>, the nascent Cause of the B</w:t>
      </w:r>
      <w:r w:rsidRPr="00AC215F">
        <w:t>á</w:t>
      </w:r>
      <w:r>
        <w:t xml:space="preserve">b?  Was He not the One Who by </w:t>
      </w:r>
      <w:r w:rsidRPr="00AC215F">
        <w:rPr>
          <w:highlight w:val="yellow"/>
        </w:rPr>
        <w:t>assuming the actual leadership</w:t>
      </w:r>
      <w:r>
        <w:t xml:space="preserve"> of a proscribed and </w:t>
      </w:r>
      <w:proofErr w:type="spellStart"/>
      <w:r>
        <w:t>harrassed</w:t>
      </w:r>
      <w:proofErr w:type="spellEnd"/>
      <w:r>
        <w:t xml:space="preserve"> sect exposed Himself, and His kindred, and His possessions, and His rank, and His reputation to the grave perils, the bloody assaults, the general spoliation and furious defamations of both government and people?  Was it not He—the Bearer of a Revelation, Whose day </w:t>
      </w:r>
      <w:r w:rsidR="00277B6C">
        <w:t>“</w:t>
      </w:r>
      <w:r w:rsidRPr="00296A53">
        <w:rPr>
          <w:i/>
          <w:iCs w:val="0"/>
        </w:rPr>
        <w:t>every Prophet hath announced</w:t>
      </w:r>
      <w:r>
        <w:t>,</w:t>
      </w:r>
      <w:r w:rsidR="00277B6C">
        <w:t>”</w:t>
      </w:r>
      <w:r>
        <w:t xml:space="preserve"> for which </w:t>
      </w:r>
      <w:r w:rsidR="00277B6C">
        <w:t>“</w:t>
      </w:r>
      <w:r w:rsidRPr="00296A53">
        <w:rPr>
          <w:i/>
          <w:iCs w:val="0"/>
        </w:rPr>
        <w:t>the soul of every Divine Messenger hath thirsted</w:t>
      </w:r>
      <w:r>
        <w:t>,</w:t>
      </w:r>
      <w:r w:rsidR="00277B6C">
        <w:t>”</w:t>
      </w:r>
      <w:r>
        <w:t xml:space="preserve"> and in which </w:t>
      </w:r>
      <w:r w:rsidR="00277B6C">
        <w:t>“</w:t>
      </w:r>
      <w:r w:rsidRPr="00296A53">
        <w:rPr>
          <w:i/>
          <w:iCs w:val="0"/>
        </w:rPr>
        <w:t>God hath proved the hearts of the entire company of His Messengers and Prophets</w:t>
      </w:r>
      <w:r w:rsidR="00277B6C">
        <w:t>”</w:t>
      </w:r>
      <w:r>
        <w:t xml:space="preserve">—was not the Bearer of such a Revelation, at the instigation of </w:t>
      </w:r>
      <w:r w:rsidRPr="00AC215F">
        <w:rPr>
          <w:u w:val="single"/>
        </w:rPr>
        <w:t>Sh</w:t>
      </w:r>
      <w:r w:rsidRPr="00AC215F">
        <w:t>í</w:t>
      </w:r>
      <w:r>
        <w:t xml:space="preserve">‘ih ecclesiastics and by order of the </w:t>
      </w:r>
      <w:r w:rsidRPr="00AC215F">
        <w:rPr>
          <w:u w:val="single"/>
        </w:rPr>
        <w:t>Sh</w:t>
      </w:r>
      <w:r w:rsidRPr="00AC215F">
        <w:t>á</w:t>
      </w:r>
      <w:r>
        <w:t xml:space="preserve">h himself forced, for no less than four months, to breathe, in utter darkness, whilst in the company of the vilest criminals and freighted down with galling chains, the pestilential air of the vermin-infested subterranean dungeon of </w:t>
      </w:r>
      <w:r w:rsidRPr="00AC215F">
        <w:t>Ṭ</w:t>
      </w:r>
      <w:r>
        <w:t>ihr</w:t>
      </w:r>
      <w:r w:rsidRPr="00AC215F">
        <w:t>á</w:t>
      </w:r>
      <w:r>
        <w:t xml:space="preserve">n—a place which, as He Himself subsequently declared, was mysteriously converted into the very scene of the annunciation made to Him by God of His Prophethood? (Shoghi Effendi, </w:t>
      </w:r>
      <w:r w:rsidRPr="00296A53">
        <w:rPr>
          <w:i/>
          <w:iCs w:val="0"/>
        </w:rPr>
        <w:t>The Promised Day is Come</w:t>
      </w:r>
      <w:r>
        <w:t>, p. 10)</w:t>
      </w:r>
    </w:p>
    <w:p w:rsidR="00AC215F" w:rsidRDefault="00E01FC3" w:rsidP="00E01FC3">
      <w:pPr>
        <w:pStyle w:val="Text"/>
      </w:pPr>
      <w:r>
        <w:t xml:space="preserve">George Townshend in </w:t>
      </w:r>
      <w:r w:rsidRPr="00E01FC3">
        <w:rPr>
          <w:i/>
          <w:iCs/>
        </w:rPr>
        <w:t>Christ and Bahá’u’lláh</w:t>
      </w:r>
      <w:r w:rsidRPr="00E01FC3">
        <w:t>, p. 70</w:t>
      </w:r>
      <w:r>
        <w:t>, used the term coadjutor (co-assister)</w:t>
      </w:r>
      <w:r w:rsidR="00414D4E">
        <w:t>.</w:t>
      </w:r>
    </w:p>
    <w:p w:rsidR="00277B6C" w:rsidRDefault="00277B6C" w:rsidP="00277B6C">
      <w:pPr>
        <w:pStyle w:val="Myhead"/>
      </w:pPr>
      <w:r>
        <w:t>Summary</w:t>
      </w:r>
    </w:p>
    <w:p w:rsidR="00277B6C" w:rsidRDefault="00277B6C" w:rsidP="000949AB">
      <w:pPr>
        <w:pStyle w:val="Text"/>
      </w:pPr>
      <w:r>
        <w:t>Bahá’u’lláh</w:t>
      </w:r>
      <w:r w:rsidR="000949AB">
        <w:t>’</w:t>
      </w:r>
      <w:r>
        <w:t xml:space="preserve">s role during the </w:t>
      </w:r>
      <w:r w:rsidR="000949AB">
        <w:t>M</w:t>
      </w:r>
      <w:r>
        <w:t xml:space="preserve">inistry of the Báb was characterized as a “supporter” and “champion” by Shoghi Effendi, reflecting His unique position as someone who actively promoted and defended the Báb’s Cause without being a mere follower.  Bahá’u’lláh recognized the divine station of the Báb and played a pivotal role in advancing His mission, particularly through His leadership among early believers and His profound </w:t>
      </w:r>
      <w:r w:rsidR="000949AB">
        <w:t>W</w:t>
      </w:r>
      <w:r>
        <w:t xml:space="preserve">ritings that upheld the teachings of the Báb. </w:t>
      </w:r>
      <w:r w:rsidR="000949AB">
        <w:t xml:space="preserve"> </w:t>
      </w:r>
      <w:r>
        <w:t>This role was distinct from that of ordinary followers, as Bahá’u’lláh’s actions and insights demonstrated extraordinary spiritual authority and foresight, preparing the way for His own eventual declaration as “Him Whom God Shall Make Manifest” (</w:t>
      </w:r>
      <w:r w:rsidRPr="000949AB">
        <w:rPr>
          <w:i/>
          <w:iCs/>
        </w:rPr>
        <w:t xml:space="preserve">Man </w:t>
      </w:r>
      <w:proofErr w:type="spellStart"/>
      <w:r w:rsidRPr="000949AB">
        <w:rPr>
          <w:i/>
          <w:iCs/>
        </w:rPr>
        <w:t>Yuẓhiruhu</w:t>
      </w:r>
      <w:proofErr w:type="spellEnd"/>
      <w:r w:rsidRPr="000949AB">
        <w:rPr>
          <w:i/>
          <w:iCs/>
        </w:rPr>
        <w:t xml:space="preserve"> </w:t>
      </w:r>
      <w:proofErr w:type="spellStart"/>
      <w:r w:rsidRPr="000949AB">
        <w:rPr>
          <w:i/>
          <w:iCs/>
        </w:rPr>
        <w:t>All</w:t>
      </w:r>
      <w:r w:rsidR="000949AB" w:rsidRPr="000949AB">
        <w:rPr>
          <w:i/>
          <w:iCs/>
        </w:rPr>
        <w:t>á</w:t>
      </w:r>
      <w:r w:rsidRPr="000949AB">
        <w:rPr>
          <w:i/>
          <w:iCs/>
        </w:rPr>
        <w:t>h</w:t>
      </w:r>
      <w:proofErr w:type="spellEnd"/>
      <w:r>
        <w:t>).</w:t>
      </w:r>
    </w:p>
    <w:p w:rsidR="000136CD" w:rsidRDefault="000136CD" w:rsidP="000949AB">
      <w:pPr>
        <w:pStyle w:val="Text"/>
      </w:pPr>
    </w:p>
    <w:p w:rsidR="005B518C" w:rsidRDefault="005B518C" w:rsidP="005B518C">
      <w:pPr>
        <w:pStyle w:val="Myheadc"/>
      </w:pPr>
      <w:r>
        <w:t>‘Abdu’l-Bahá</w:t>
      </w:r>
    </w:p>
    <w:p w:rsidR="005B518C" w:rsidRPr="001827E3" w:rsidRDefault="005B518C" w:rsidP="00E23618">
      <w:pPr>
        <w:pStyle w:val="Text"/>
      </w:pPr>
      <w:r>
        <w:t>Another question regards the name of ‘Abb</w:t>
      </w:r>
      <w:r w:rsidRPr="005B518C">
        <w:t>á</w:t>
      </w:r>
      <w:r>
        <w:t>s Afand</w:t>
      </w:r>
      <w:r w:rsidRPr="005B518C">
        <w:t>í</w:t>
      </w:r>
      <w:r>
        <w:t xml:space="preserve">.  </w:t>
      </w:r>
      <w:r w:rsidR="00E23618" w:rsidRPr="00296A53">
        <w:t xml:space="preserve">‘Abdu'l-Bahá was named ‘Abbás.  During Bahá’u’lláh’s lifetime He was also known as ‘Abbás Afandí or </w:t>
      </w:r>
      <w:r w:rsidR="00277B6C">
        <w:t>“</w:t>
      </w:r>
      <w:r w:rsidR="00E23618" w:rsidRPr="00296A53">
        <w:t>the Master</w:t>
      </w:r>
      <w:r w:rsidR="00277B6C">
        <w:t>”</w:t>
      </w:r>
      <w:r w:rsidR="00E23618" w:rsidRPr="00296A53">
        <w:t>.  Only after the passing of Bahá’u’lláh, did He ask to be called ‘Abdu’l-Bahá.</w:t>
      </w:r>
    </w:p>
    <w:sectPr w:rsidR="005B518C" w:rsidRPr="001827E3" w:rsidSect="00CC7754">
      <w:pgSz w:w="11907" w:h="16839" w:code="9"/>
      <w:pgMar w:top="720" w:right="864" w:bottom="720" w:left="864" w:header="720" w:footer="562"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335" w:rsidRDefault="00706335" w:rsidP="00E41271">
      <w:r>
        <w:separator/>
      </w:r>
    </w:p>
  </w:endnote>
  <w:endnote w:type="continuationSeparator" w:id="0">
    <w:p w:rsidR="00706335" w:rsidRDefault="0070633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335" w:rsidRDefault="00706335" w:rsidP="00E41271">
      <w:r>
        <w:separator/>
      </w:r>
    </w:p>
  </w:footnote>
  <w:footnote w:type="continuationSeparator" w:id="0">
    <w:p w:rsidR="00706335" w:rsidRDefault="00706335" w:rsidP="00E4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684132203">
    <w:abstractNumId w:val="9"/>
  </w:num>
  <w:num w:numId="2" w16cid:durableId="1562668125">
    <w:abstractNumId w:val="7"/>
  </w:num>
  <w:num w:numId="3" w16cid:durableId="1435976769">
    <w:abstractNumId w:val="6"/>
  </w:num>
  <w:num w:numId="4" w16cid:durableId="1756781087">
    <w:abstractNumId w:val="5"/>
  </w:num>
  <w:num w:numId="5" w16cid:durableId="1382096667">
    <w:abstractNumId w:val="4"/>
  </w:num>
  <w:num w:numId="6" w16cid:durableId="243035207">
    <w:abstractNumId w:val="8"/>
  </w:num>
  <w:num w:numId="7" w16cid:durableId="167909663">
    <w:abstractNumId w:val="3"/>
  </w:num>
  <w:num w:numId="8" w16cid:durableId="1678269390">
    <w:abstractNumId w:val="2"/>
  </w:num>
  <w:num w:numId="9" w16cid:durableId="1733428475">
    <w:abstractNumId w:val="1"/>
  </w:num>
  <w:num w:numId="10" w16cid:durableId="26746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447"/>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6CD"/>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0E41"/>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B60"/>
    <w:rsid w:val="00090DE8"/>
    <w:rsid w:val="00091371"/>
    <w:rsid w:val="00092616"/>
    <w:rsid w:val="00093182"/>
    <w:rsid w:val="00094955"/>
    <w:rsid w:val="000949AB"/>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47"/>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DFF"/>
    <w:rsid w:val="001A2A34"/>
    <w:rsid w:val="001A3D15"/>
    <w:rsid w:val="001A6B4A"/>
    <w:rsid w:val="001B12D5"/>
    <w:rsid w:val="001B38D0"/>
    <w:rsid w:val="001B3F60"/>
    <w:rsid w:val="001B4747"/>
    <w:rsid w:val="001B5FA3"/>
    <w:rsid w:val="001B69E8"/>
    <w:rsid w:val="001B7804"/>
    <w:rsid w:val="001B7A3E"/>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14C"/>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66A"/>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1900"/>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2B41"/>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6C"/>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6A53"/>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C4"/>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34A1"/>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1E5"/>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AD0"/>
    <w:rsid w:val="003E3E56"/>
    <w:rsid w:val="003E429E"/>
    <w:rsid w:val="003E4404"/>
    <w:rsid w:val="003E4965"/>
    <w:rsid w:val="003E4D89"/>
    <w:rsid w:val="003E6B86"/>
    <w:rsid w:val="003E7789"/>
    <w:rsid w:val="003E78D0"/>
    <w:rsid w:val="003F040D"/>
    <w:rsid w:val="003F0D9B"/>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D4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4C4"/>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18C"/>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06335"/>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39C3"/>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4D1"/>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DC2"/>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641A"/>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737"/>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15F"/>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47BE"/>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5C1"/>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2E3C"/>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C7754"/>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E7188"/>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083"/>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82"/>
    <w:rsid w:val="00D71A3D"/>
    <w:rsid w:val="00D71B1F"/>
    <w:rsid w:val="00D733CD"/>
    <w:rsid w:val="00D73711"/>
    <w:rsid w:val="00D73B19"/>
    <w:rsid w:val="00D73F80"/>
    <w:rsid w:val="00D74161"/>
    <w:rsid w:val="00D74CAD"/>
    <w:rsid w:val="00D74FBB"/>
    <w:rsid w:val="00D7639E"/>
    <w:rsid w:val="00D763E5"/>
    <w:rsid w:val="00D7650A"/>
    <w:rsid w:val="00D769A2"/>
    <w:rsid w:val="00D77783"/>
    <w:rsid w:val="00D8137B"/>
    <w:rsid w:val="00D813B3"/>
    <w:rsid w:val="00D81A72"/>
    <w:rsid w:val="00D81D47"/>
    <w:rsid w:val="00D81F7B"/>
    <w:rsid w:val="00D825FD"/>
    <w:rsid w:val="00D82F6B"/>
    <w:rsid w:val="00D82FAA"/>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1FC3"/>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4FC"/>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618"/>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5CA"/>
    <w:rsid w:val="00EA090D"/>
    <w:rsid w:val="00EA0A84"/>
    <w:rsid w:val="00EA0C9F"/>
    <w:rsid w:val="00EA0FB5"/>
    <w:rsid w:val="00EA157E"/>
    <w:rsid w:val="00EA2EE2"/>
    <w:rsid w:val="00EA32C8"/>
    <w:rsid w:val="00EA37BF"/>
    <w:rsid w:val="00EA3875"/>
    <w:rsid w:val="00EA516F"/>
    <w:rsid w:val="00EA7060"/>
    <w:rsid w:val="00EB058E"/>
    <w:rsid w:val="00EB3B08"/>
    <w:rsid w:val="00EB4C30"/>
    <w:rsid w:val="00EB5A26"/>
    <w:rsid w:val="00EB6261"/>
    <w:rsid w:val="00EB67F4"/>
    <w:rsid w:val="00EB703C"/>
    <w:rsid w:val="00EB7198"/>
    <w:rsid w:val="00EB73E1"/>
    <w:rsid w:val="00EB74D9"/>
    <w:rsid w:val="00EB775E"/>
    <w:rsid w:val="00EC06ED"/>
    <w:rsid w:val="00EC0A77"/>
    <w:rsid w:val="00EC0D04"/>
    <w:rsid w:val="00EC0FE8"/>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6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rsid w:val="00B74F5A"/>
    <w:pPr>
      <w:keepNext/>
      <w:spacing w:before="120"/>
      <w:outlineLvl w:val="1"/>
    </w:pPr>
    <w:rPr>
      <w:b/>
      <w:noProof/>
      <w:sz w:val="24"/>
      <w:szCs w:val="24"/>
    </w:rPr>
  </w:style>
  <w:style w:type="paragraph" w:styleId="Heading3">
    <w:name w:val="heading 3"/>
    <w:basedOn w:val="Normal"/>
    <w:next w:val="Normal"/>
    <w:link w:val="Heading3Char"/>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277B6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277B6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277B6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277B6C"/>
    <w:pPr>
      <w:suppressAutoHyphens/>
      <w:overflowPunct/>
      <w:spacing w:before="120"/>
      <w:ind w:firstLine="284"/>
      <w:jc w:val="both"/>
      <w:textAlignment w:val="auto"/>
    </w:pPr>
  </w:style>
  <w:style w:type="paragraph" w:customStyle="1" w:styleId="BulletText">
    <w:name w:val="Bullet Text"/>
    <w:basedOn w:val="Text"/>
    <w:qFormat/>
    <w:rsid w:val="00277B6C"/>
    <w:pPr>
      <w:ind w:left="425" w:hanging="425"/>
    </w:pPr>
  </w:style>
  <w:style w:type="paragraph" w:customStyle="1" w:styleId="Bullettextcont">
    <w:name w:val="Bullet text cont"/>
    <w:basedOn w:val="BulletText"/>
    <w:qFormat/>
    <w:rsid w:val="00277B6C"/>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rsid w:val="00B74F5A"/>
    <w:pPr>
      <w:keepLines/>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spacing w:before="120"/>
      <w:jc w:val="center"/>
    </w:pPr>
    <w:rPr>
      <w:b/>
      <w:sz w:val="28"/>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277B6C"/>
    <w:pPr>
      <w:spacing w:before="120"/>
      <w:ind w:left="567"/>
      <w:jc w:val="both"/>
    </w:pPr>
    <w:rPr>
      <w:rFonts w:cstheme="minorBidi"/>
      <w:iCs/>
      <w14:numForm w14:val="default"/>
      <w14:numSpacing w14:val="default"/>
    </w:rPr>
  </w:style>
  <w:style w:type="character" w:customStyle="1" w:styleId="QuoteChar">
    <w:name w:val="Quote Char"/>
    <w:link w:val="Quote"/>
    <w:rsid w:val="00277B6C"/>
    <w:rPr>
      <w:rFonts w:ascii="Cambria" w:hAnsi="Cambria" w:cstheme="minorBidi"/>
      <w:iCs/>
    </w:rPr>
  </w:style>
  <w:style w:type="paragraph" w:customStyle="1" w:styleId="Quotects">
    <w:name w:val="Quotects"/>
    <w:basedOn w:val="Normal"/>
    <w:qFormat/>
    <w:rsid w:val="00277B6C"/>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277B6C"/>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uiPriority w:val="39"/>
    <w:rsid w:val="00B74F5A"/>
    <w:pPr>
      <w:pageBreakBefore/>
    </w:pPr>
    <w:rPr>
      <w:i/>
      <w:color w:val="FFFFFF" w:themeColor="background1"/>
      <w:sz w:val="12"/>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277B6C"/>
    <w:pPr>
      <w:spacing w:after="200"/>
    </w:pPr>
    <w:rPr>
      <w:b/>
      <w:bCs/>
      <w:color w:val="4F81BD" w:themeColor="accent1"/>
      <w:sz w:val="18"/>
      <w:szCs w:val="18"/>
    </w:rPr>
  </w:style>
  <w:style w:type="character" w:customStyle="1" w:styleId="Heading9Char">
    <w:name w:val="Heading 9 Char"/>
    <w:basedOn w:val="DefaultParagraphFont"/>
    <w:link w:val="Heading9"/>
    <w:semiHidden/>
    <w:rsid w:val="00277B6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277B6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277B6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277B6C"/>
    <w:pPr>
      <w:ind w:left="709"/>
    </w:pPr>
    <w:rPr>
      <w14:numSpacing w14:val="default"/>
    </w:rPr>
  </w:style>
  <w:style w:type="character" w:customStyle="1" w:styleId="Bullet2Char">
    <w:name w:val="Bullet2 Char"/>
    <w:basedOn w:val="DefaultParagraphFont"/>
    <w:link w:val="Bullet2"/>
    <w:rsid w:val="00277B6C"/>
    <w:rPr>
      <w:rFonts w:ascii="Cambria" w:hAnsi="Cambria"/>
      <w14:numForm w14:val="oldStyle"/>
    </w:rPr>
  </w:style>
  <w:style w:type="paragraph" w:customStyle="1" w:styleId="Bullet2ct">
    <w:name w:val="Bullet2 ct"/>
    <w:basedOn w:val="BulletText"/>
    <w:link w:val="Bullet2ctChar"/>
    <w:qFormat/>
    <w:rsid w:val="00277B6C"/>
    <w:pPr>
      <w:spacing w:before="0"/>
      <w:ind w:left="709"/>
    </w:pPr>
    <w:rPr>
      <w14:numSpacing w14:val="default"/>
    </w:rPr>
  </w:style>
  <w:style w:type="character" w:customStyle="1" w:styleId="Bullet2ctChar">
    <w:name w:val="Bullet2 ct Char"/>
    <w:basedOn w:val="DefaultParagraphFont"/>
    <w:link w:val="Bullet2ct"/>
    <w:rsid w:val="00277B6C"/>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B74F5A"/>
    <w:pPr>
      <w:tabs>
        <w:tab w:val="left" w:pos="284"/>
      </w:tabs>
      <w:spacing w:before="120"/>
      <w:ind w:hanging="284"/>
    </w:pPr>
  </w:style>
  <w:style w:type="character" w:customStyle="1" w:styleId="TextleftnChar">
    <w:name w:val="Text_leftn Char"/>
    <w:basedOn w:val="DefaultParagraphFont"/>
    <w:link w:val="Textleftn"/>
    <w:rsid w:val="00B74F5A"/>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277B6C"/>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TOCHeading">
    <w:name w:val="TOC Heading"/>
    <w:basedOn w:val="Heading1"/>
    <w:next w:val="Normal"/>
    <w:uiPriority w:val="39"/>
    <w:semiHidden/>
    <w:unhideWhenUsed/>
    <w:qFormat/>
    <w:rsid w:val="00277B6C"/>
    <w:pPr>
      <w:keepLines/>
      <w:autoSpaceDE/>
      <w:autoSpaceDN/>
      <w:adjustRightInd/>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2021-02-17T23:48:00Z</dcterms:created>
  <dcterms:modified xsi:type="dcterms:W3CDTF">2025-06-28T13:13:00Z</dcterms:modified>
</cp:coreProperties>
</file>