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AF5" w:rsidRPr="00DD4AF5" w:rsidRDefault="00DD4AF5" w:rsidP="00DD4AF5"/>
    <w:p w:rsidR="00DD4AF5" w:rsidRPr="00DD4AF5" w:rsidRDefault="00DD4AF5" w:rsidP="00DD4AF5"/>
    <w:p w:rsidR="00022AA6" w:rsidRPr="00022AA6" w:rsidRDefault="00022AA6" w:rsidP="005C3DEB">
      <w:pPr>
        <w:pStyle w:val="Myheadc"/>
      </w:pPr>
      <w:r w:rsidRPr="00022AA6">
        <w:t xml:space="preserve">The </w:t>
      </w:r>
      <w:proofErr w:type="spellStart"/>
      <w:r w:rsidRPr="00022AA6">
        <w:t>Lawh-i-Tibb</w:t>
      </w:r>
      <w:proofErr w:type="spellEnd"/>
      <w:r w:rsidRPr="00022AA6">
        <w:t xml:space="preserve"> (Tablet to the Physician)</w:t>
      </w:r>
      <w:r>
        <w:br/>
        <w:t>—</w:t>
      </w:r>
      <w:r w:rsidRPr="00022AA6">
        <w:t>Beyond Health Maxims</w:t>
      </w:r>
      <w:r w:rsidR="005C3DEB">
        <w:rPr>
          <w:rStyle w:val="FootnoteReference"/>
        </w:rPr>
        <w:footnoteReference w:id="1"/>
      </w:r>
    </w:p>
    <w:p w:rsidR="005C3DEB" w:rsidRDefault="005C3DEB" w:rsidP="005C3DEB">
      <w:pPr>
        <w:jc w:val="center"/>
      </w:pPr>
    </w:p>
    <w:p w:rsidR="00022AA6" w:rsidRPr="00022AA6" w:rsidRDefault="00022AA6" w:rsidP="005C3DEB">
      <w:pPr>
        <w:jc w:val="center"/>
      </w:pPr>
      <w:proofErr w:type="spellStart"/>
      <w:r w:rsidRPr="00022AA6">
        <w:t>Misagh</w:t>
      </w:r>
      <w:proofErr w:type="spellEnd"/>
      <w:r w:rsidRPr="00022AA6">
        <w:t xml:space="preserve"> </w:t>
      </w:r>
      <w:proofErr w:type="spellStart"/>
      <w:r w:rsidRPr="00022AA6">
        <w:t>Ziaei</w:t>
      </w:r>
      <w:proofErr w:type="spellEnd"/>
      <w:r w:rsidR="005C3DEB">
        <w:rPr>
          <w:rStyle w:val="FootnoteReference"/>
        </w:rPr>
        <w:footnoteReference w:customMarkFollows="1" w:id="2"/>
        <w:t>*</w:t>
      </w:r>
    </w:p>
    <w:p w:rsidR="00022AA6" w:rsidRPr="00022AA6" w:rsidRDefault="00022AA6" w:rsidP="00022AA6">
      <w:pPr>
        <w:pStyle w:val="Myhead"/>
      </w:pPr>
      <w:r w:rsidRPr="00022AA6">
        <w:t>Abstract</w:t>
      </w:r>
    </w:p>
    <w:p w:rsidR="00022AA6" w:rsidRPr="00022AA6" w:rsidRDefault="00022AA6" w:rsidP="00BA644F">
      <w:pPr>
        <w:pStyle w:val="Text"/>
      </w:pPr>
      <w:r w:rsidRPr="00022AA6">
        <w:t>The Law</w:t>
      </w:r>
      <w:r w:rsidR="003D0280" w:rsidRPr="003D0280">
        <w:t>ḥ</w:t>
      </w:r>
      <w:r w:rsidRPr="00022AA6">
        <w:t>-</w:t>
      </w:r>
      <w:proofErr w:type="spellStart"/>
      <w:r w:rsidRPr="00022AA6">
        <w:t>i</w:t>
      </w:r>
      <w:proofErr w:type="spellEnd"/>
      <w:r w:rsidRPr="00022AA6">
        <w:t>-</w:t>
      </w:r>
      <w:proofErr w:type="spellStart"/>
      <w:r w:rsidR="003D0280" w:rsidRPr="00E31A27">
        <w:rPr>
          <w:rFonts w:eastAsia="PMingLiU"/>
          <w:lang w:eastAsia="zh-TW"/>
        </w:rPr>
        <w:t>Ṭibb</w:t>
      </w:r>
      <w:proofErr w:type="spellEnd"/>
      <w:r w:rsidRPr="00022AA6">
        <w:t xml:space="preserve"> is a well-known, oft-referenced tablet by Bahá’u’lláh and one of the few explicitly related to medicine and healing. </w:t>
      </w:r>
      <w:r w:rsidR="005C3DEB">
        <w:t xml:space="preserve"> </w:t>
      </w:r>
      <w:r w:rsidRPr="00022AA6">
        <w:t xml:space="preserve">While the health maxims contained in it are often the focus of popular interest, relatively little attention has been paid to other aspects of the tablet. </w:t>
      </w:r>
      <w:r w:rsidR="005C3DEB">
        <w:t xml:space="preserve"> </w:t>
      </w:r>
      <w:r w:rsidRPr="00022AA6">
        <w:t>Complicating the study of this important work is the lack of an authorized English translation.</w:t>
      </w:r>
      <w:r w:rsidR="007016F9">
        <w:rPr>
          <w:rStyle w:val="FootnoteReference"/>
        </w:rPr>
        <w:footnoteReference w:id="3"/>
      </w:r>
      <w:r w:rsidR="007016F9">
        <w:t xml:space="preserve"> </w:t>
      </w:r>
      <w:r w:rsidR="005C3DEB">
        <w:t xml:space="preserve"> </w:t>
      </w:r>
      <w:r w:rsidRPr="00022AA6">
        <w:t>This paper, drawing on provisional</w:t>
      </w:r>
      <w:r w:rsidR="00BA644F">
        <w:t xml:space="preserve"> </w:t>
      </w:r>
      <w:r w:rsidRPr="00022AA6">
        <w:t xml:space="preserve">translations, focuses on the tablet’s historical context, its paradigms for the study and practice of medicine, its description of the ideal characteristics of a physician, and </w:t>
      </w:r>
      <w:proofErr w:type="gramStart"/>
      <w:r w:rsidRPr="00022AA6">
        <w:t>its</w:t>
      </w:r>
      <w:proofErr w:type="gramEnd"/>
      <w:r w:rsidRPr="00022AA6">
        <w:t xml:space="preserve"> foreshadowing of the evolution of medical science.</w:t>
      </w:r>
    </w:p>
    <w:p w:rsidR="00022AA6" w:rsidRPr="003D0280" w:rsidRDefault="00022AA6" w:rsidP="00980DC9">
      <w:pPr>
        <w:pStyle w:val="Myhead"/>
        <w:rPr>
          <w:lang w:val="fr-FR"/>
        </w:rPr>
      </w:pPr>
      <w:r w:rsidRPr="003D0280">
        <w:rPr>
          <w:lang w:val="fr-FR"/>
        </w:rPr>
        <w:t>Résumé</w:t>
      </w:r>
    </w:p>
    <w:p w:rsidR="00022AA6" w:rsidRPr="00022AA6" w:rsidRDefault="00022AA6" w:rsidP="00BA644F">
      <w:pPr>
        <w:pStyle w:val="Text"/>
        <w:rPr>
          <w:lang w:val="fr-FR"/>
        </w:rPr>
      </w:pPr>
      <w:r w:rsidRPr="00022AA6">
        <w:rPr>
          <w:lang w:val="fr-FR"/>
        </w:rPr>
        <w:t xml:space="preserve">La </w:t>
      </w:r>
      <w:r w:rsidR="003D0280" w:rsidRPr="003D0280">
        <w:rPr>
          <w:lang w:val="fr-FR"/>
        </w:rPr>
        <w:t>Lawḥ</w:t>
      </w:r>
      <w:r w:rsidRPr="00022AA6">
        <w:rPr>
          <w:lang w:val="fr-FR"/>
        </w:rPr>
        <w:t>-i-</w:t>
      </w:r>
      <w:proofErr w:type="spellStart"/>
      <w:r w:rsidR="003D0280" w:rsidRPr="003D0280">
        <w:rPr>
          <w:rFonts w:eastAsia="PMingLiU"/>
          <w:lang w:val="fr-FR" w:eastAsia="zh-TW"/>
        </w:rPr>
        <w:t>Ṭibb</w:t>
      </w:r>
      <w:proofErr w:type="spellEnd"/>
      <w:r w:rsidRPr="00022AA6">
        <w:rPr>
          <w:lang w:val="fr-FR"/>
        </w:rPr>
        <w:t xml:space="preserve"> est une tablette bien connue de Bahá’u’lláh, à laquelle il est souvent fait référence, et l’une des rares qui porte expressément sur la médecine et la guérison.</w:t>
      </w:r>
      <w:r w:rsidR="00BA644F">
        <w:rPr>
          <w:lang w:val="fr-FR"/>
        </w:rPr>
        <w:t xml:space="preserve"> </w:t>
      </w:r>
      <w:r w:rsidRPr="00022AA6">
        <w:rPr>
          <w:lang w:val="fr-FR"/>
        </w:rPr>
        <w:t xml:space="preserve"> Bien que les préceptes en matière de santé qu’elle contient soient souvent au cœur de l’intérêt qu’elle suscite, relativement peu d’attention a été accordée à d’autres aspects de la tablette. </w:t>
      </w:r>
      <w:r w:rsidR="00BA644F">
        <w:rPr>
          <w:lang w:val="fr-FR"/>
        </w:rPr>
        <w:t xml:space="preserve"> </w:t>
      </w:r>
      <w:r w:rsidRPr="00022AA6">
        <w:rPr>
          <w:lang w:val="fr-FR"/>
        </w:rPr>
        <w:t xml:space="preserve">L’absence d’une traduction anglaise autorisée complique l’étude de cet écrit important. </w:t>
      </w:r>
      <w:r w:rsidR="00BA644F">
        <w:rPr>
          <w:lang w:val="fr-FR"/>
        </w:rPr>
        <w:t xml:space="preserve"> </w:t>
      </w:r>
      <w:r w:rsidRPr="00022AA6">
        <w:rPr>
          <w:lang w:val="fr-FR"/>
        </w:rPr>
        <w:t>S’appuyant sur des traductions provisoires, l’auteur examine le contexte historique de la tablette, ses paradigmes pour l’étude et la pratique de la médecine, sa description des qualités idéales d’un médecin et son anticipation de l’évolution de la science médicale.</w:t>
      </w:r>
    </w:p>
    <w:p w:rsidR="00022AA6" w:rsidRPr="003D0280" w:rsidRDefault="00022AA6" w:rsidP="00980DC9">
      <w:pPr>
        <w:rPr>
          <w:lang w:val="fr-FR"/>
        </w:rPr>
      </w:pPr>
    </w:p>
    <w:p w:rsidR="00022AA6" w:rsidRPr="003D0280" w:rsidRDefault="00022AA6" w:rsidP="00980DC9">
      <w:pPr>
        <w:pStyle w:val="Myhead"/>
        <w:rPr>
          <w:lang w:val="es-ES_tradnl"/>
        </w:rPr>
      </w:pPr>
      <w:r w:rsidRPr="003D0280">
        <w:rPr>
          <w:lang w:val="es-ES_tradnl"/>
        </w:rPr>
        <w:t>Resumen</w:t>
      </w:r>
    </w:p>
    <w:p w:rsidR="00022AA6" w:rsidRPr="00022AA6" w:rsidRDefault="00022AA6" w:rsidP="00DD2558">
      <w:pPr>
        <w:pStyle w:val="Text"/>
        <w:rPr>
          <w:lang w:val="es-ES_tradnl"/>
        </w:rPr>
      </w:pPr>
      <w:r w:rsidRPr="00022AA6">
        <w:rPr>
          <w:lang w:val="es-ES_tradnl"/>
        </w:rPr>
        <w:t xml:space="preserve">La </w:t>
      </w:r>
      <w:r w:rsidR="003D0280" w:rsidRPr="003D0280">
        <w:rPr>
          <w:lang w:val="es-ES_tradnl"/>
        </w:rPr>
        <w:t>Lawḥ</w:t>
      </w:r>
      <w:r w:rsidRPr="00022AA6">
        <w:rPr>
          <w:lang w:val="es-ES_tradnl"/>
        </w:rPr>
        <w:t>-i-</w:t>
      </w:r>
      <w:proofErr w:type="spellStart"/>
      <w:r w:rsidR="003D0280" w:rsidRPr="003D0280">
        <w:rPr>
          <w:rFonts w:eastAsia="PMingLiU"/>
          <w:lang w:val="es-ES_tradnl" w:eastAsia="zh-TW"/>
        </w:rPr>
        <w:t>Ṭibb</w:t>
      </w:r>
      <w:proofErr w:type="spellEnd"/>
      <w:r w:rsidRPr="00022AA6">
        <w:rPr>
          <w:lang w:val="es-ES_tradnl"/>
        </w:rPr>
        <w:t xml:space="preserve"> es una tableta muy conocida y referenciada por Bahá’u’lláh y una de las pocas relacionadas explícitamente con la medicina y la curación. Si bien las máximas de salud contenidas en él a menudo son el foco de interés popular, se ha prestado relativamente poca atención a otros aspectos de la tableta. Para complicar el estudio de este importante trabajo es la falta de una traducción al inglés autorizada. Este artículo documento, basado en traducciones provisionales, se centra en el contexto histórico de la tableta, sus paradigmas para el estudio y la práctica de la medicina, su descripción de las características ideales de un médico y presagiando la evolución de la ciencia médica.</w:t>
      </w:r>
    </w:p>
    <w:p w:rsidR="00957AD0" w:rsidRPr="00DD5F4C" w:rsidRDefault="00957AD0" w:rsidP="00321CF2">
      <w:pPr>
        <w:rPr>
          <w:lang w:val="es-ES_tradnl"/>
        </w:rPr>
      </w:pPr>
      <w:r w:rsidRPr="00DD5F4C">
        <w:rPr>
          <w:lang w:val="es-ES_tradnl"/>
        </w:rPr>
        <w:br w:type="page"/>
      </w:r>
    </w:p>
    <w:p w:rsidR="00022AA6" w:rsidRPr="007E5BB9" w:rsidRDefault="00DD2558" w:rsidP="007E5BB9">
      <w:pPr>
        <w:pStyle w:val="Myheadc"/>
      </w:pPr>
      <w:r w:rsidRPr="007E5BB9">
        <w:lastRenderedPageBreak/>
        <w:t>Introduction</w:t>
      </w:r>
    </w:p>
    <w:p w:rsidR="00022AA6" w:rsidRPr="00022AA6" w:rsidRDefault="00022AA6" w:rsidP="00BF28C0">
      <w:pPr>
        <w:pStyle w:val="Text"/>
      </w:pPr>
      <w:r w:rsidRPr="00022AA6">
        <w:t>The “</w:t>
      </w:r>
      <w:r w:rsidR="003D0280" w:rsidRPr="00022AA6">
        <w:t>Law</w:t>
      </w:r>
      <w:r w:rsidR="003D0280" w:rsidRPr="003D0280">
        <w:t>ḥ</w:t>
      </w:r>
      <w:r w:rsidRPr="00022AA6">
        <w:t>-</w:t>
      </w:r>
      <w:proofErr w:type="spellStart"/>
      <w:r w:rsidRPr="00022AA6">
        <w:t>i</w:t>
      </w:r>
      <w:proofErr w:type="spellEnd"/>
      <w:r w:rsidRPr="00022AA6">
        <w:t>-</w:t>
      </w:r>
      <w:proofErr w:type="spellStart"/>
      <w:r w:rsidR="003D0280" w:rsidRPr="00E31A27">
        <w:rPr>
          <w:rFonts w:eastAsia="PMingLiU"/>
          <w:lang w:eastAsia="zh-TW"/>
        </w:rPr>
        <w:t>Ṭibb</w:t>
      </w:r>
      <w:proofErr w:type="spellEnd"/>
      <w:r w:rsidRPr="00022AA6">
        <w:t>”</w:t>
      </w:r>
      <w:r w:rsidR="00DD2558">
        <w:t>,</w:t>
      </w:r>
      <w:r w:rsidRPr="00022AA6">
        <w:t xml:space="preserve"> also known</w:t>
      </w:r>
      <w:r>
        <w:t xml:space="preserve"> </w:t>
      </w:r>
      <w:r w:rsidRPr="00022AA6">
        <w:t>as the “Tablet to the Physician” or the “Tablet of</w:t>
      </w:r>
      <w:r>
        <w:t xml:space="preserve"> </w:t>
      </w:r>
      <w:r w:rsidRPr="00022AA6">
        <w:t>Medicine”</w:t>
      </w:r>
      <w:r w:rsidR="00DD2558">
        <w:t>,</w:t>
      </w:r>
      <w:r>
        <w:t xml:space="preserve"> </w:t>
      </w:r>
      <w:r w:rsidRPr="00022AA6">
        <w:t>was</w:t>
      </w:r>
      <w:r>
        <w:t xml:space="preserve"> </w:t>
      </w:r>
      <w:r w:rsidRPr="00022AA6">
        <w:t>written by Bahá’u’lláh sometime in the early ‘Akká period of His ministry, likely</w:t>
      </w:r>
      <w:r>
        <w:t xml:space="preserve"> </w:t>
      </w:r>
      <w:r w:rsidRPr="00022AA6">
        <w:t>in the early 1870s (</w:t>
      </w:r>
      <w:proofErr w:type="spellStart"/>
      <w:r w:rsidRPr="00022AA6">
        <w:t>Fananapazir</w:t>
      </w:r>
      <w:proofErr w:type="spellEnd"/>
      <w:r w:rsidRPr="00022AA6">
        <w:t xml:space="preserve"> and </w:t>
      </w:r>
      <w:proofErr w:type="spellStart"/>
      <w:r w:rsidRPr="00022AA6">
        <w:t>Lambden</w:t>
      </w:r>
      <w:proofErr w:type="spellEnd"/>
      <w:r w:rsidRPr="00022AA6">
        <w:t xml:space="preserve"> 18). </w:t>
      </w:r>
      <w:r w:rsidR="00BF28C0">
        <w:t xml:space="preserve"> </w:t>
      </w:r>
      <w:r w:rsidRPr="00022AA6">
        <w:t>The tablet was addressed to Mírzá Mu</w:t>
      </w:r>
      <w:r w:rsidR="00BF28C0" w:rsidRPr="00BF28C0">
        <w:t>ḥ</w:t>
      </w:r>
      <w:r w:rsidRPr="00022AA6">
        <w:t>ammad Ri</w:t>
      </w:r>
      <w:r w:rsidR="007016F9" w:rsidRPr="007016F9">
        <w:t>ḍ</w:t>
      </w:r>
      <w:r w:rsidRPr="00022AA6">
        <w:t>á’-</w:t>
      </w:r>
      <w:proofErr w:type="spellStart"/>
      <w:r w:rsidRPr="00022AA6">
        <w:t>i</w:t>
      </w:r>
      <w:proofErr w:type="spellEnd"/>
      <w:r w:rsidRPr="00022AA6">
        <w:t>-</w:t>
      </w:r>
      <w:proofErr w:type="spellStart"/>
      <w:r w:rsidR="00BF28C0" w:rsidRPr="00BF28C0">
        <w:t>Ṭ</w:t>
      </w:r>
      <w:r w:rsidRPr="00022AA6">
        <w:t>ab</w:t>
      </w:r>
      <w:r w:rsidR="00BF28C0" w:rsidRPr="00BF28C0">
        <w:t>í</w:t>
      </w:r>
      <w:r w:rsidRPr="00022AA6">
        <w:t>b</w:t>
      </w:r>
      <w:proofErr w:type="spellEnd"/>
      <w:r w:rsidRPr="00022AA6">
        <w:t>-</w:t>
      </w:r>
      <w:proofErr w:type="spellStart"/>
      <w:r w:rsidRPr="00022AA6">
        <w:t>i</w:t>
      </w:r>
      <w:proofErr w:type="spellEnd"/>
      <w:r w:rsidRPr="00022AA6">
        <w:t xml:space="preserve">-Yazdí, a physician of the traditional style of medicine living in the city of Yazd in Iran (18). </w:t>
      </w:r>
      <w:r w:rsidR="00BF28C0">
        <w:t xml:space="preserve"> </w:t>
      </w:r>
      <w:r w:rsidRPr="00022AA6">
        <w:t>The full Arabic and Persian text of the tablet was ﬁrst published in Cairo in the early 1920s (18)</w:t>
      </w:r>
      <w:proofErr w:type="gramStart"/>
      <w:r w:rsidRPr="00022AA6">
        <w:t>,</w:t>
      </w:r>
      <w:proofErr w:type="gramEnd"/>
      <w:r w:rsidR="00BF28C0">
        <w:rPr>
          <w:rStyle w:val="FootnoteReference"/>
        </w:rPr>
        <w:footnoteReference w:id="4"/>
      </w:r>
      <w:r w:rsidRPr="007E5BB9">
        <w:rPr>
          <w:rStyle w:val="EndnoteReference"/>
        </w:rPr>
        <w:t xml:space="preserve"> </w:t>
      </w:r>
      <w:r w:rsidRPr="00022AA6">
        <w:t xml:space="preserve">while provisional English translations of portions of the tablet began appearing in the periodical </w:t>
      </w:r>
      <w:r w:rsidRPr="00022AA6">
        <w:rPr>
          <w:i/>
          <w:iCs/>
        </w:rPr>
        <w:t xml:space="preserve">Star of the West </w:t>
      </w:r>
      <w:r w:rsidRPr="00022AA6">
        <w:t xml:space="preserve">in 1922 (“Physical” 252) and 1930 (Kirkpatrick 160), and in the book </w:t>
      </w:r>
      <w:r w:rsidRPr="00022AA6">
        <w:rPr>
          <w:i/>
          <w:iCs/>
        </w:rPr>
        <w:t xml:space="preserve">Bahá’u’lláh and the New Era </w:t>
      </w:r>
      <w:r w:rsidRPr="00022AA6">
        <w:t>in 1923 (Esslemont 106).</w:t>
      </w:r>
      <w:r w:rsidR="00BF28C0">
        <w:t xml:space="preserve"> </w:t>
      </w:r>
      <w:r w:rsidRPr="00022AA6">
        <w:t xml:space="preserve"> The ﬁrst</w:t>
      </w:r>
      <w:r>
        <w:t xml:space="preserve"> </w:t>
      </w:r>
      <w:r w:rsidRPr="00022AA6">
        <w:t xml:space="preserve">half of the tablet—written in Arabic—discusses mainly topics related to medicine and health and is the focus of this paper. </w:t>
      </w:r>
      <w:r w:rsidR="00BF28C0">
        <w:t xml:space="preserve"> </w:t>
      </w:r>
      <w:r w:rsidRPr="00022AA6">
        <w:t>The second half of the tablet was written in Persian and contains “admonitions to Bahá’ís, designed to increase their level of wisdom, devotion and service” (</w:t>
      </w:r>
      <w:proofErr w:type="spellStart"/>
      <w:r w:rsidRPr="00022AA6">
        <w:t>Fananapazir</w:t>
      </w:r>
      <w:proofErr w:type="spellEnd"/>
      <w:r w:rsidRPr="00022AA6">
        <w:t xml:space="preserve"> and </w:t>
      </w:r>
      <w:proofErr w:type="spellStart"/>
      <w:r w:rsidRPr="00022AA6">
        <w:t>Lambden</w:t>
      </w:r>
      <w:proofErr w:type="spellEnd"/>
      <w:r w:rsidRPr="00022AA6">
        <w:t xml:space="preserve"> 18); however, I do not intend to discuss this part of the tablet in this paper.</w:t>
      </w:r>
    </w:p>
    <w:p w:rsidR="00022AA6" w:rsidRPr="00022AA6" w:rsidRDefault="00022AA6" w:rsidP="00957AD0">
      <w:pPr>
        <w:pStyle w:val="Text"/>
      </w:pPr>
      <w:r w:rsidRPr="00022AA6">
        <w:t>A letter written on behalf of Shoghi</w:t>
      </w:r>
      <w:r w:rsidR="00957AD0">
        <w:t xml:space="preserve"> </w:t>
      </w:r>
      <w:r w:rsidRPr="00022AA6">
        <w:t xml:space="preserve">Eﬀendi raised the possibility that Bahá’u’lláh wrote the </w:t>
      </w:r>
      <w:r w:rsidR="003D0280" w:rsidRPr="00022AA6">
        <w:t>Law</w:t>
      </w:r>
      <w:r w:rsidR="003D0280" w:rsidRPr="003D0280">
        <w:t>ḥ</w:t>
      </w:r>
      <w:r w:rsidRPr="00022AA6">
        <w:t>-</w:t>
      </w:r>
      <w:proofErr w:type="spellStart"/>
      <w:r w:rsidRPr="00022AA6">
        <w:t>i</w:t>
      </w:r>
      <w:proofErr w:type="spellEnd"/>
      <w:r w:rsidRPr="00022AA6">
        <w:t>-</w:t>
      </w:r>
      <w:proofErr w:type="spellStart"/>
      <w:r w:rsidR="003D0280" w:rsidRPr="00E31A27">
        <w:rPr>
          <w:rFonts w:eastAsia="PMingLiU"/>
          <w:lang w:eastAsia="zh-TW"/>
        </w:rPr>
        <w:t>Ṭibb</w:t>
      </w:r>
      <w:proofErr w:type="spellEnd"/>
      <w:r w:rsidRPr="00022AA6">
        <w:t xml:space="preserve"> in response to questions posed by Mírzá Mu</w:t>
      </w:r>
      <w:r w:rsidR="00957AD0" w:rsidRPr="00957AD0">
        <w:t>ḥ</w:t>
      </w:r>
      <w:r w:rsidRPr="00022AA6">
        <w:t>ammad Ri</w:t>
      </w:r>
      <w:r w:rsidR="00957AD0" w:rsidRPr="00957AD0">
        <w:t>ḍ</w:t>
      </w:r>
      <w:r w:rsidRPr="00022AA6">
        <w:t>á’ (</w:t>
      </w:r>
      <w:r w:rsidRPr="00022AA6">
        <w:rPr>
          <w:i/>
          <w:iCs/>
        </w:rPr>
        <w:t xml:space="preserve">Compilation vol. 1 </w:t>
      </w:r>
      <w:r w:rsidRPr="00022AA6">
        <w:t>paragraph 61).</w:t>
      </w:r>
      <w:r w:rsidR="00957AD0">
        <w:t xml:space="preserve"> </w:t>
      </w:r>
      <w:r w:rsidRPr="00022AA6">
        <w:t xml:space="preserve"> Thus far, no deﬁnitive evidence</w:t>
      </w:r>
      <w:r>
        <w:t xml:space="preserve"> </w:t>
      </w:r>
      <w:r w:rsidRPr="00022AA6">
        <w:t>has</w:t>
      </w:r>
      <w:r>
        <w:t xml:space="preserve"> </w:t>
      </w:r>
      <w:r w:rsidRPr="00022AA6">
        <w:t>been</w:t>
      </w:r>
      <w:r>
        <w:t xml:space="preserve"> </w:t>
      </w:r>
      <w:r w:rsidRPr="00022AA6">
        <w:t>found</w:t>
      </w:r>
      <w:r>
        <w:t xml:space="preserve"> </w:t>
      </w:r>
      <w:r w:rsidRPr="00022AA6">
        <w:t>to</w:t>
      </w:r>
      <w:r>
        <w:t xml:space="preserve"> </w:t>
      </w:r>
      <w:r w:rsidRPr="00022AA6">
        <w:t>conﬁrm</w:t>
      </w:r>
      <w:r w:rsidR="00957AD0">
        <w:t xml:space="preserve"> </w:t>
      </w:r>
      <w:r w:rsidRPr="00022AA6">
        <w:t xml:space="preserve">this possibility (Research Department). </w:t>
      </w:r>
      <w:r w:rsidR="00957AD0">
        <w:t xml:space="preserve"> </w:t>
      </w:r>
      <w:r w:rsidRPr="00022AA6">
        <w:t>Nevertheless, Bahá’u’lláh seems to paraphrase or quote extensively from</w:t>
      </w:r>
      <w:r>
        <w:t xml:space="preserve"> </w:t>
      </w:r>
      <w:r w:rsidRPr="00022AA6">
        <w:t>a wide variety of historical medical texts, which would seem to be in keeping with the tablet</w:t>
      </w:r>
      <w:r>
        <w:t xml:space="preserve"> </w:t>
      </w:r>
      <w:r w:rsidRPr="00022AA6">
        <w:t>being</w:t>
      </w:r>
      <w:r>
        <w:t xml:space="preserve"> </w:t>
      </w:r>
      <w:r w:rsidRPr="00022AA6">
        <w:t>an</w:t>
      </w:r>
      <w:r>
        <w:t xml:space="preserve"> </w:t>
      </w:r>
      <w:r w:rsidRPr="00022AA6">
        <w:t>answer to medical questions posed by Mírzá Mu</w:t>
      </w:r>
      <w:r w:rsidR="00957AD0" w:rsidRPr="00957AD0">
        <w:t>ḥ</w:t>
      </w:r>
      <w:r w:rsidRPr="00022AA6">
        <w:t>ammad Ri</w:t>
      </w:r>
      <w:r w:rsidR="00957AD0" w:rsidRPr="00957AD0">
        <w:t>ḍ</w:t>
      </w:r>
      <w:r w:rsidRPr="00022AA6">
        <w:t xml:space="preserve">á’. </w:t>
      </w:r>
      <w:r w:rsidR="00957AD0">
        <w:t xml:space="preserve"> </w:t>
      </w:r>
      <w:r w:rsidRPr="00022AA6">
        <w:t xml:space="preserve">Among these references, Bahá’u’lláh seems to intersperse His own advice. </w:t>
      </w:r>
      <w:r w:rsidR="00957AD0">
        <w:t xml:space="preserve"> </w:t>
      </w:r>
      <w:r w:rsidRPr="00022AA6">
        <w:t xml:space="preserve">A letter written on behalf of Shoghi Eﬀendi states that the tablet “does not contain much of scientiﬁc </w:t>
      </w:r>
      <w:proofErr w:type="spellStart"/>
      <w:r w:rsidRPr="00022AA6">
        <w:t>informations</w:t>
      </w:r>
      <w:proofErr w:type="spellEnd"/>
      <w:r w:rsidRPr="00022AA6">
        <w:t xml:space="preserve"> [sic] but has some interesting advices [sic] for keeping healthy” (</w:t>
      </w:r>
      <w:r w:rsidRPr="00022AA6">
        <w:rPr>
          <w:i/>
          <w:iCs/>
        </w:rPr>
        <w:t xml:space="preserve">Light </w:t>
      </w:r>
      <w:r w:rsidRPr="00022AA6">
        <w:t>21).</w:t>
      </w:r>
    </w:p>
    <w:p w:rsidR="00957AD0" w:rsidRDefault="00022AA6" w:rsidP="00957AD0">
      <w:pPr>
        <w:pStyle w:val="Text"/>
      </w:pPr>
      <w:r w:rsidRPr="00022AA6">
        <w:t xml:space="preserve">There is no English translation authorized by the Bahá’í World Centre of the full text of this tablet. </w:t>
      </w:r>
      <w:r w:rsidR="00957AD0">
        <w:t xml:space="preserve"> </w:t>
      </w:r>
      <w:r w:rsidRPr="00022AA6">
        <w:t xml:space="preserve">A provisional translation of the full tablet published by </w:t>
      </w:r>
      <w:proofErr w:type="spellStart"/>
      <w:r w:rsidRPr="00022AA6">
        <w:t>Khazeh</w:t>
      </w:r>
      <w:proofErr w:type="spellEnd"/>
      <w:r w:rsidRPr="00022AA6">
        <w:t xml:space="preserve"> </w:t>
      </w:r>
      <w:proofErr w:type="spellStart"/>
      <w:r w:rsidRPr="00022AA6">
        <w:t>Fananapazir</w:t>
      </w:r>
      <w:proofErr w:type="spellEnd"/>
      <w:r w:rsidRPr="00022AA6">
        <w:t xml:space="preserve"> and Stephen </w:t>
      </w:r>
      <w:proofErr w:type="spellStart"/>
      <w:r w:rsidRPr="00022AA6">
        <w:t>Lambden</w:t>
      </w:r>
      <w:proofErr w:type="spellEnd"/>
      <w:r w:rsidRPr="00022AA6">
        <w:t xml:space="preserve"> will be used</w:t>
      </w:r>
      <w:r>
        <w:t xml:space="preserve"> </w:t>
      </w:r>
      <w:r w:rsidRPr="00022AA6">
        <w:t>in this paper as the main</w:t>
      </w:r>
      <w:r>
        <w:t xml:space="preserve"> </w:t>
      </w:r>
      <w:r w:rsidRPr="00022AA6">
        <w:t>English</w:t>
      </w:r>
      <w:r>
        <w:t xml:space="preserve"> </w:t>
      </w:r>
      <w:r w:rsidRPr="00022AA6">
        <w:t xml:space="preserve">translation, as it is the most recently published one. </w:t>
      </w:r>
      <w:r w:rsidR="00957AD0">
        <w:t xml:space="preserve"> </w:t>
      </w:r>
      <w:r w:rsidRPr="00022AA6">
        <w:t>The other full translation of this tablet was done anonymously and was found among the papers of Dwight Barstow, a U.S. Bahá’í (Bahá’u’lláh, “Tablet”).</w:t>
      </w:r>
      <w:r w:rsidR="00957AD0">
        <w:t xml:space="preserve"> </w:t>
      </w:r>
      <w:r w:rsidRPr="00022AA6">
        <w:t xml:space="preserve"> This translation is similar to excerpts of the tablet translated in </w:t>
      </w:r>
      <w:r w:rsidRPr="00022AA6">
        <w:rPr>
          <w:i/>
          <w:iCs/>
        </w:rPr>
        <w:t>Star of the West</w:t>
      </w:r>
      <w:r w:rsidRPr="00022AA6">
        <w:t xml:space="preserve">, also by an anonymous translator (“Physical” 252; Kirkpatrick 160). </w:t>
      </w:r>
      <w:r w:rsidR="00957AD0">
        <w:t xml:space="preserve"> </w:t>
      </w:r>
      <w:r w:rsidRPr="00022AA6">
        <w:t xml:space="preserve">The Barstow and </w:t>
      </w:r>
      <w:r w:rsidRPr="00022AA6">
        <w:rPr>
          <w:i/>
          <w:iCs/>
        </w:rPr>
        <w:t xml:space="preserve">Star of the West </w:t>
      </w:r>
      <w:r w:rsidRPr="00022AA6">
        <w:t xml:space="preserve">translations will be referred to only where their rendering of the original Arabic departs substantially from the </w:t>
      </w:r>
      <w:proofErr w:type="spellStart"/>
      <w:r w:rsidRPr="00022AA6">
        <w:t>Fananapazir</w:t>
      </w:r>
      <w:proofErr w:type="spellEnd"/>
      <w:r w:rsidRPr="00022AA6">
        <w:t xml:space="preserve"> and </w:t>
      </w:r>
      <w:proofErr w:type="spellStart"/>
      <w:r w:rsidRPr="00022AA6">
        <w:t>Lambden</w:t>
      </w:r>
      <w:proofErr w:type="spellEnd"/>
      <w:r w:rsidRPr="00022AA6">
        <w:t xml:space="preserve"> translation. </w:t>
      </w:r>
      <w:r w:rsidR="00957AD0">
        <w:t xml:space="preserve"> </w:t>
      </w:r>
      <w:r w:rsidRPr="00022AA6">
        <w:t>Lines are numbered in this paper to give the reader a sense of the order of information presented in the tablet, but these numbers are not present in the original.</w:t>
      </w:r>
    </w:p>
    <w:p w:rsidR="00022AA6" w:rsidRPr="00022AA6" w:rsidRDefault="00022AA6" w:rsidP="00957AD0">
      <w:pPr>
        <w:pStyle w:val="Text"/>
      </w:pPr>
      <w:r w:rsidRPr="00022AA6">
        <w:t>This tablet, mainly referenced for its</w:t>
      </w:r>
    </w:p>
    <w:p w:rsidR="00957AD0" w:rsidRDefault="00957AD0">
      <w:pPr>
        <w:widowControl/>
        <w:kinsoku/>
        <w:overflowPunct/>
        <w:textAlignment w:val="auto"/>
      </w:pPr>
      <w:r>
        <w:br w:type="page"/>
      </w:r>
    </w:p>
    <w:p w:rsidR="00022AA6" w:rsidRPr="00022AA6" w:rsidRDefault="00022AA6" w:rsidP="00957AD0">
      <w:pPr>
        <w:pStyle w:val="Textcts"/>
      </w:pPr>
      <w:proofErr w:type="gramStart"/>
      <w:r w:rsidRPr="00022AA6">
        <w:lastRenderedPageBreak/>
        <w:t>health</w:t>
      </w:r>
      <w:proofErr w:type="gramEnd"/>
      <w:r w:rsidRPr="00022AA6">
        <w:t xml:space="preserve"> advice, is one of the few Bahá’í holy writings with speciﬁc guidance on nutrition, medication, lifestyle factors (such as exercise), mental health, and spiritual aspects of healing. </w:t>
      </w:r>
      <w:r w:rsidR="00392638">
        <w:t xml:space="preserve"> </w:t>
      </w:r>
      <w:r w:rsidRPr="00022AA6">
        <w:t xml:space="preserve">A detailed study of the health maxims in the tablet is diﬃcult without an authorized translation; thus, these maxims will only be superﬁcially discussed. </w:t>
      </w:r>
      <w:r w:rsidR="00392638">
        <w:t xml:space="preserve"> </w:t>
      </w:r>
      <w:r w:rsidRPr="00022AA6">
        <w:t>Largely missing from contemporary discourse in the Bahá’í community is the fact that the tablet describes fundamental concepts related to health and the practice of medicine, as well as the characteristics desired in a physician.</w:t>
      </w:r>
      <w:r w:rsidR="00392638">
        <w:t xml:space="preserve"> </w:t>
      </w:r>
      <w:r w:rsidRPr="00022AA6">
        <w:t xml:space="preserve"> In both the explicit statements and implicit conclusions in this tablet, Bahá’u’lláh prophesied the evolution of the practice of medicine.</w:t>
      </w:r>
    </w:p>
    <w:p w:rsidR="00022AA6" w:rsidRPr="007E5BB9" w:rsidRDefault="00392638" w:rsidP="007E5BB9">
      <w:pPr>
        <w:pStyle w:val="Myheadc"/>
      </w:pPr>
      <w:r w:rsidRPr="007E5BB9">
        <w:t>Medicine in nineteenth-century Persia</w:t>
      </w:r>
    </w:p>
    <w:p w:rsidR="00022AA6" w:rsidRPr="007E5BB9" w:rsidRDefault="00022AA6" w:rsidP="00392638">
      <w:pPr>
        <w:pStyle w:val="Text"/>
      </w:pPr>
      <w:r w:rsidRPr="007E5BB9">
        <w:t>Shoghi Eﬀendi writes,</w:t>
      </w:r>
    </w:p>
    <w:p w:rsidR="00022AA6" w:rsidRPr="00022AA6" w:rsidRDefault="00022AA6" w:rsidP="00392638">
      <w:pPr>
        <w:pStyle w:val="Quote"/>
      </w:pPr>
      <w:r w:rsidRPr="00022AA6">
        <w:t>The Tablet to a Physician was addressed to a man who was a student of the old type of healing prevalent in the East and familiar with the terminology used in those days, and [Bahá’u’lláh] addresses him in terms used by the medical men of those days.</w:t>
      </w:r>
      <w:r w:rsidR="00392638">
        <w:t xml:space="preserve"> </w:t>
      </w:r>
      <w:r w:rsidRPr="00022AA6">
        <w:t xml:space="preserve"> These terms are quite diﬀerent from those used by modern medicine, and one would have to have a deep knowledge of this former school of medicine to understand the questions Bahá’u’lláh was elucidating. (</w:t>
      </w:r>
      <w:r w:rsidRPr="00321CF2">
        <w:rPr>
          <w:i/>
          <w:iCs w:val="0"/>
        </w:rPr>
        <w:t xml:space="preserve">Compilation vol. 1 </w:t>
      </w:r>
      <w:r w:rsidRPr="00022AA6">
        <w:t>paragraph 61)</w:t>
      </w:r>
    </w:p>
    <w:p w:rsidR="00022AA6" w:rsidRPr="00022AA6" w:rsidRDefault="00022AA6" w:rsidP="00392638">
      <w:pPr>
        <w:pStyle w:val="Text"/>
      </w:pPr>
      <w:r w:rsidRPr="00022AA6">
        <w:t xml:space="preserve">According to </w:t>
      </w:r>
      <w:proofErr w:type="spellStart"/>
      <w:r w:rsidRPr="00022AA6">
        <w:t>Fananapazir</w:t>
      </w:r>
      <w:proofErr w:type="spellEnd"/>
      <w:r w:rsidRPr="00022AA6">
        <w:t xml:space="preserve"> and </w:t>
      </w:r>
      <w:proofErr w:type="spellStart"/>
      <w:r w:rsidRPr="00022AA6">
        <w:t>Lambden</w:t>
      </w:r>
      <w:proofErr w:type="spellEnd"/>
      <w:r w:rsidRPr="00022AA6">
        <w:t xml:space="preserve"> (18), the medical maxims and advice contained in the </w:t>
      </w:r>
      <w:r w:rsidR="003D0280" w:rsidRPr="00022AA6">
        <w:t>Law</w:t>
      </w:r>
      <w:r w:rsidR="003D0280" w:rsidRPr="003D0280">
        <w:t>ḥ</w:t>
      </w:r>
      <w:r w:rsidRPr="00022AA6">
        <w:t>-</w:t>
      </w:r>
      <w:proofErr w:type="spellStart"/>
      <w:r w:rsidRPr="00022AA6">
        <w:t>i</w:t>
      </w:r>
      <w:proofErr w:type="spellEnd"/>
      <w:r w:rsidRPr="00022AA6">
        <w:t>-</w:t>
      </w:r>
      <w:proofErr w:type="spellStart"/>
      <w:r w:rsidR="003D0280" w:rsidRPr="00E31A27">
        <w:rPr>
          <w:rFonts w:eastAsia="PMingLiU"/>
          <w:lang w:eastAsia="zh-TW"/>
        </w:rPr>
        <w:t>Ṭibb</w:t>
      </w:r>
      <w:proofErr w:type="spellEnd"/>
      <w:r w:rsidRPr="00022AA6">
        <w:t xml:space="preserve"> are similar to those found in ancient Greek and early Islamic literature. </w:t>
      </w:r>
      <w:r w:rsidR="00392638">
        <w:t xml:space="preserve"> </w:t>
      </w:r>
      <w:r w:rsidRPr="00022AA6">
        <w:t xml:space="preserve">Medical practice in Persia at the time when Bahá’u’lláh wrote the </w:t>
      </w:r>
      <w:r w:rsidR="003D0280" w:rsidRPr="00022AA6">
        <w:t>Law</w:t>
      </w:r>
      <w:r w:rsidR="003D0280" w:rsidRPr="003D0280">
        <w:t>ḥ</w:t>
      </w:r>
      <w:r w:rsidRPr="00022AA6">
        <w:t>-</w:t>
      </w:r>
      <w:proofErr w:type="spellStart"/>
      <w:r w:rsidRPr="00022AA6">
        <w:t>i</w:t>
      </w:r>
      <w:proofErr w:type="spellEnd"/>
      <w:r w:rsidRPr="00022AA6">
        <w:t>-</w:t>
      </w:r>
      <w:proofErr w:type="spellStart"/>
      <w:r w:rsidR="003D0280" w:rsidRPr="00E31A27">
        <w:rPr>
          <w:rFonts w:eastAsia="PMingLiU"/>
          <w:lang w:eastAsia="zh-TW"/>
        </w:rPr>
        <w:t>Ṭibb</w:t>
      </w:r>
      <w:proofErr w:type="spellEnd"/>
      <w:r w:rsidRPr="00022AA6">
        <w:t xml:space="preserve"> included an eclectic blend of traditional and modern—so-called “Western”—concepts</w:t>
      </w:r>
      <w:r>
        <w:t xml:space="preserve"> </w:t>
      </w:r>
      <w:r w:rsidRPr="00022AA6">
        <w:t>(</w:t>
      </w:r>
      <w:proofErr w:type="spellStart"/>
      <w:r w:rsidRPr="00022AA6">
        <w:t>Ebrahimnejad</w:t>
      </w:r>
      <w:proofErr w:type="spellEnd"/>
      <w:r w:rsidRPr="00022AA6">
        <w:t>,</w:t>
      </w:r>
      <w:r>
        <w:t xml:space="preserve"> </w:t>
      </w:r>
      <w:r w:rsidRPr="00022AA6">
        <w:rPr>
          <w:i/>
          <w:iCs/>
        </w:rPr>
        <w:t xml:space="preserve">Medicine </w:t>
      </w:r>
      <w:r w:rsidRPr="00022AA6">
        <w:t>7).</w:t>
      </w:r>
      <w:r w:rsidR="00392638">
        <w:t xml:space="preserve"> </w:t>
      </w:r>
      <w:r w:rsidRPr="00022AA6">
        <w:t xml:space="preserve"> As explained by Shoghi Eﬀendi in the passage above, M</w:t>
      </w:r>
      <w:r w:rsidR="00392638">
        <w:t>í</w:t>
      </w:r>
      <w:r w:rsidRPr="00022AA6">
        <w:t xml:space="preserve">rzá </w:t>
      </w:r>
      <w:r w:rsidR="00957AD0" w:rsidRPr="00022AA6">
        <w:t>Mu</w:t>
      </w:r>
      <w:r w:rsidR="00957AD0" w:rsidRPr="00957AD0">
        <w:t>ḥ</w:t>
      </w:r>
      <w:r w:rsidR="00957AD0" w:rsidRPr="00022AA6">
        <w:t>ammad</w:t>
      </w:r>
      <w:r w:rsidRPr="00022AA6">
        <w:t xml:space="preserve"> </w:t>
      </w:r>
      <w:r w:rsidR="00957AD0" w:rsidRPr="00022AA6">
        <w:t>Ri</w:t>
      </w:r>
      <w:r w:rsidR="00957AD0" w:rsidRPr="00957AD0">
        <w:t>ḍ</w:t>
      </w:r>
      <w:r w:rsidR="00957AD0" w:rsidRPr="00022AA6">
        <w:t>á</w:t>
      </w:r>
      <w:r w:rsidRPr="00022AA6">
        <w:t xml:space="preserve">’ likely based his practice on a tradition of ancient Greek medical knowledge that had been expanded upon by various physicians throughout history, including Hippocrates, </w:t>
      </w:r>
      <w:proofErr w:type="spellStart"/>
      <w:r w:rsidRPr="00022AA6">
        <w:t>Alcmaeon</w:t>
      </w:r>
      <w:proofErr w:type="spellEnd"/>
      <w:r w:rsidRPr="00022AA6">
        <w:t>, and Avicenna (</w:t>
      </w:r>
      <w:proofErr w:type="spellStart"/>
      <w:r w:rsidRPr="00022AA6">
        <w:t>Pourahmad</w:t>
      </w:r>
      <w:proofErr w:type="spellEnd"/>
      <w:r w:rsidRPr="00022AA6">
        <w:t xml:space="preserve"> 96). </w:t>
      </w:r>
      <w:r w:rsidR="00392638">
        <w:t xml:space="preserve"> </w:t>
      </w:r>
      <w:r w:rsidRPr="00022AA6">
        <w:t>Unsurprisingly, there were also Zoroastrian</w:t>
      </w:r>
      <w:r>
        <w:t xml:space="preserve"> </w:t>
      </w:r>
      <w:r w:rsidRPr="00022AA6">
        <w:t>and</w:t>
      </w:r>
      <w:r>
        <w:t xml:space="preserve"> </w:t>
      </w:r>
      <w:r w:rsidRPr="00022AA6">
        <w:t>Indian</w:t>
      </w:r>
      <w:r>
        <w:t xml:space="preserve"> </w:t>
      </w:r>
      <w:r w:rsidRPr="00022AA6">
        <w:t>inﬂuences on Persian medicine throughout its history (</w:t>
      </w:r>
      <w:proofErr w:type="spellStart"/>
      <w:r w:rsidRPr="00022AA6">
        <w:t>Gignoux</w:t>
      </w:r>
      <w:proofErr w:type="spellEnd"/>
      <w:r w:rsidRPr="00022AA6">
        <w:t xml:space="preserve">). </w:t>
      </w:r>
      <w:r w:rsidR="00392638">
        <w:t xml:space="preserve"> </w:t>
      </w:r>
      <w:r w:rsidRPr="00022AA6">
        <w:t>Persian medical textbooks contemporaneous with this tablet were typically written for an audience of both physicians and the lay public (</w:t>
      </w:r>
      <w:proofErr w:type="spellStart"/>
      <w:r w:rsidRPr="00022AA6">
        <w:t>Ebrahimnejad</w:t>
      </w:r>
      <w:proofErr w:type="spellEnd"/>
      <w:r w:rsidRPr="00022AA6">
        <w:t xml:space="preserve">, “Theory” 173), and Bahá’u’lláh seems to employ this approach in the </w:t>
      </w:r>
      <w:r w:rsidR="003D0280" w:rsidRPr="00022AA6">
        <w:t>Law</w:t>
      </w:r>
      <w:r w:rsidR="003D0280" w:rsidRPr="003D0280">
        <w:t>ḥ</w:t>
      </w:r>
      <w:r w:rsidRPr="00022AA6">
        <w:t>-</w:t>
      </w:r>
      <w:proofErr w:type="spellStart"/>
      <w:r w:rsidRPr="00022AA6">
        <w:t>i</w:t>
      </w:r>
      <w:proofErr w:type="spellEnd"/>
      <w:r w:rsidRPr="00022AA6">
        <w:t>-</w:t>
      </w:r>
      <w:proofErr w:type="spellStart"/>
      <w:r w:rsidR="003D0280" w:rsidRPr="00E31A27">
        <w:rPr>
          <w:rFonts w:eastAsia="PMingLiU"/>
          <w:lang w:eastAsia="zh-TW"/>
        </w:rPr>
        <w:t>Ṭibb</w:t>
      </w:r>
      <w:proofErr w:type="spellEnd"/>
      <w:r w:rsidRPr="00022AA6">
        <w:t>.</w:t>
      </w:r>
    </w:p>
    <w:p w:rsidR="00022AA6" w:rsidRPr="00022AA6" w:rsidRDefault="00022AA6" w:rsidP="000E0733">
      <w:pPr>
        <w:pStyle w:val="Text"/>
      </w:pPr>
      <w:proofErr w:type="spellStart"/>
      <w:r w:rsidRPr="00022AA6">
        <w:t>Humoralism</w:t>
      </w:r>
      <w:proofErr w:type="spellEnd"/>
      <w:r w:rsidRPr="00022AA6">
        <w:t>, a medical</w:t>
      </w:r>
      <w:r>
        <w:t xml:space="preserve"> </w:t>
      </w:r>
      <w:r w:rsidRPr="00022AA6">
        <w:t>philosophy</w:t>
      </w:r>
      <w:r w:rsidR="00392638">
        <w:t xml:space="preserve"> </w:t>
      </w:r>
      <w:r w:rsidRPr="00022AA6">
        <w:t xml:space="preserve">that explains disease as a consequence of an imbalance in one or more of four </w:t>
      </w:r>
      <w:proofErr w:type="spellStart"/>
      <w:r w:rsidRPr="00022AA6">
        <w:t>humors</w:t>
      </w:r>
      <w:proofErr w:type="spellEnd"/>
      <w:r w:rsidRPr="00022AA6">
        <w:t xml:space="preserve"> (or ﬂuids) of the body, was the central tenet in nineteenth-century traditional Persian medicine. </w:t>
      </w:r>
      <w:r w:rsidR="00392638">
        <w:t xml:space="preserve"> </w:t>
      </w:r>
      <w:r w:rsidRPr="00022AA6">
        <w:t xml:space="preserve">These four </w:t>
      </w:r>
      <w:proofErr w:type="spellStart"/>
      <w:r w:rsidRPr="00022AA6">
        <w:t>humors</w:t>
      </w:r>
      <w:proofErr w:type="spellEnd"/>
      <w:r w:rsidRPr="00022AA6">
        <w:t xml:space="preserve"> are blood (</w:t>
      </w:r>
      <w:proofErr w:type="spellStart"/>
      <w:r w:rsidRPr="00DB1426">
        <w:rPr>
          <w:i/>
          <w:iCs/>
          <w:u w:val="single"/>
        </w:rPr>
        <w:t>kh</w:t>
      </w:r>
      <w:r w:rsidR="00DB1426" w:rsidRPr="0012344C">
        <w:rPr>
          <w:i/>
          <w:iCs/>
        </w:rPr>
        <w:t>ú</w:t>
      </w:r>
      <w:r w:rsidRPr="00022AA6">
        <w:rPr>
          <w:i/>
          <w:iCs/>
        </w:rPr>
        <w:t>n</w:t>
      </w:r>
      <w:proofErr w:type="spellEnd"/>
      <w:r w:rsidRPr="00022AA6">
        <w:t xml:space="preserve">, </w:t>
      </w:r>
      <w:r w:rsidRPr="00022AA6">
        <w:rPr>
          <w:i/>
          <w:iCs/>
        </w:rPr>
        <w:t>dam</w:t>
      </w:r>
      <w:r w:rsidRPr="00022AA6">
        <w:t>), phlegm (</w:t>
      </w:r>
      <w:proofErr w:type="spellStart"/>
      <w:r w:rsidRPr="00022AA6">
        <w:rPr>
          <w:i/>
          <w:iCs/>
        </w:rPr>
        <w:t>bal</w:t>
      </w:r>
      <w:r w:rsidRPr="000E0733">
        <w:rPr>
          <w:i/>
          <w:iCs/>
          <w:u w:val="single"/>
        </w:rPr>
        <w:t>g</w:t>
      </w:r>
      <w:r w:rsidR="000E0733" w:rsidRPr="000E0733">
        <w:rPr>
          <w:i/>
          <w:iCs/>
          <w:u w:val="single"/>
        </w:rPr>
        <w:t>h</w:t>
      </w:r>
      <w:r w:rsidRPr="00022AA6">
        <w:rPr>
          <w:i/>
          <w:iCs/>
        </w:rPr>
        <w:t>am</w:t>
      </w:r>
      <w:proofErr w:type="spellEnd"/>
      <w:r w:rsidRPr="00022AA6">
        <w:t>), yellow bile (</w:t>
      </w:r>
      <w:proofErr w:type="spellStart"/>
      <w:r w:rsidR="000E0733" w:rsidRPr="0012344C">
        <w:rPr>
          <w:i/>
          <w:iCs/>
        </w:rPr>
        <w:t>ṣ</w:t>
      </w:r>
      <w:r w:rsidRPr="00022AA6">
        <w:rPr>
          <w:i/>
          <w:iCs/>
        </w:rPr>
        <w:t>afr</w:t>
      </w:r>
      <w:r w:rsidR="000E0733" w:rsidRPr="0012344C">
        <w:rPr>
          <w:i/>
          <w:iCs/>
        </w:rPr>
        <w:t>á</w:t>
      </w:r>
      <w:proofErr w:type="spellEnd"/>
      <w:r w:rsidR="000E0733" w:rsidRPr="0012344C">
        <w:rPr>
          <w:i/>
          <w:iCs/>
        </w:rPr>
        <w:t>’</w:t>
      </w:r>
      <w:r w:rsidRPr="00022AA6">
        <w:t>), and black bile (</w:t>
      </w:r>
      <w:proofErr w:type="spellStart"/>
      <w:r w:rsidRPr="00022AA6">
        <w:rPr>
          <w:i/>
          <w:iCs/>
        </w:rPr>
        <w:t>sawd</w:t>
      </w:r>
      <w:r w:rsidR="000E0733" w:rsidRPr="0012344C">
        <w:rPr>
          <w:i/>
          <w:iCs/>
        </w:rPr>
        <w:t>á</w:t>
      </w:r>
      <w:proofErr w:type="spellEnd"/>
      <w:r w:rsidR="000E0733" w:rsidRPr="0012344C">
        <w:rPr>
          <w:i/>
          <w:iCs/>
        </w:rPr>
        <w:t>’</w:t>
      </w:r>
      <w:r w:rsidRPr="00022AA6">
        <w:t>), and each of them is associated with a particular organ</w:t>
      </w:r>
      <w:r w:rsidR="002A4258">
        <w:t xml:space="preserve">:  </w:t>
      </w:r>
      <w:r w:rsidR="00392638">
        <w:t xml:space="preserve"> </w:t>
      </w:r>
      <w:r w:rsidRPr="00022AA6">
        <w:t>the heart, brain, liver, and spleen, respectively (</w:t>
      </w:r>
      <w:proofErr w:type="spellStart"/>
      <w:r w:rsidRPr="00022AA6">
        <w:t>Pourahmad</w:t>
      </w:r>
      <w:proofErr w:type="spellEnd"/>
      <w:r w:rsidRPr="00022AA6">
        <w:t xml:space="preserve"> 96).</w:t>
      </w:r>
      <w:r w:rsidR="00392638">
        <w:t xml:space="preserve"> </w:t>
      </w:r>
      <w:r w:rsidRPr="00022AA6">
        <w:t xml:space="preserve"> In addition, each of the </w:t>
      </w:r>
      <w:proofErr w:type="spellStart"/>
      <w:r w:rsidRPr="00022AA6">
        <w:t>humors</w:t>
      </w:r>
      <w:proofErr w:type="spellEnd"/>
      <w:r w:rsidRPr="00022AA6">
        <w:t xml:space="preserve"> could be described</w:t>
      </w:r>
    </w:p>
    <w:p w:rsidR="000E0733" w:rsidRDefault="000E0733">
      <w:pPr>
        <w:widowControl/>
        <w:kinsoku/>
        <w:overflowPunct/>
        <w:textAlignment w:val="auto"/>
      </w:pPr>
      <w:r>
        <w:br w:type="page"/>
      </w:r>
    </w:p>
    <w:p w:rsidR="00022AA6" w:rsidRPr="00022AA6" w:rsidRDefault="00022AA6" w:rsidP="00477C67">
      <w:pPr>
        <w:pStyle w:val="Textcts"/>
      </w:pPr>
      <w:proofErr w:type="gramStart"/>
      <w:r w:rsidRPr="00022AA6">
        <w:lastRenderedPageBreak/>
        <w:t>as</w:t>
      </w:r>
      <w:proofErr w:type="gramEnd"/>
      <w:r w:rsidRPr="00022AA6">
        <w:t xml:space="preserve"> either hot (</w:t>
      </w:r>
      <w:proofErr w:type="spellStart"/>
      <w:r w:rsidRPr="00022AA6">
        <w:rPr>
          <w:i/>
          <w:iCs/>
        </w:rPr>
        <w:t>garm</w:t>
      </w:r>
      <w:proofErr w:type="spellEnd"/>
      <w:r w:rsidRPr="00022AA6">
        <w:t>) or cold (</w:t>
      </w:r>
      <w:proofErr w:type="spellStart"/>
      <w:r w:rsidRPr="00022AA6">
        <w:rPr>
          <w:i/>
          <w:iCs/>
        </w:rPr>
        <w:t>sard</w:t>
      </w:r>
      <w:proofErr w:type="spellEnd"/>
      <w:r w:rsidRPr="00022AA6">
        <w:t>), and wet (</w:t>
      </w:r>
      <w:r w:rsidRPr="00022AA6">
        <w:rPr>
          <w:i/>
          <w:iCs/>
        </w:rPr>
        <w:t>tar</w:t>
      </w:r>
      <w:r w:rsidRPr="00022AA6">
        <w:t>) or dry (</w:t>
      </w:r>
      <w:proofErr w:type="spellStart"/>
      <w:r w:rsidRPr="00477C67">
        <w:rPr>
          <w:i/>
          <w:iCs/>
          <w:u w:val="single"/>
        </w:rPr>
        <w:t>kh</w:t>
      </w:r>
      <w:r w:rsidR="00477C67">
        <w:rPr>
          <w:i/>
          <w:iCs/>
        </w:rPr>
        <w:t>u</w:t>
      </w:r>
      <w:r w:rsidRPr="00477C67">
        <w:rPr>
          <w:i/>
          <w:iCs/>
          <w:u w:val="single"/>
        </w:rPr>
        <w:t>sh</w:t>
      </w:r>
      <w:r w:rsidRPr="00022AA6">
        <w:rPr>
          <w:i/>
          <w:iCs/>
        </w:rPr>
        <w:t>k</w:t>
      </w:r>
      <w:proofErr w:type="spellEnd"/>
      <w:r w:rsidRPr="00022AA6">
        <w:t>) (</w:t>
      </w:r>
      <w:proofErr w:type="spellStart"/>
      <w:r w:rsidRPr="00022AA6">
        <w:t>Pourahmad</w:t>
      </w:r>
      <w:proofErr w:type="spellEnd"/>
      <w:r w:rsidRPr="00022AA6">
        <w:t xml:space="preserve"> 96). </w:t>
      </w:r>
      <w:r w:rsidR="00477C67">
        <w:t xml:space="preserve"> </w:t>
      </w:r>
      <w:r w:rsidRPr="00022AA6">
        <w:t>In this theory, it is believed that a “vital force” (</w:t>
      </w:r>
      <w:proofErr w:type="spellStart"/>
      <w:r w:rsidRPr="00022AA6">
        <w:rPr>
          <w:i/>
          <w:iCs/>
        </w:rPr>
        <w:t>Quwwat-i-Mudabbira</w:t>
      </w:r>
      <w:proofErr w:type="spellEnd"/>
      <w:r w:rsidRPr="00022AA6">
        <w:t xml:space="preserve">) maintains these </w:t>
      </w:r>
      <w:proofErr w:type="spellStart"/>
      <w:r w:rsidRPr="00022AA6">
        <w:t>humors</w:t>
      </w:r>
      <w:proofErr w:type="spellEnd"/>
      <w:r w:rsidRPr="00022AA6">
        <w:t xml:space="preserve"> in a dynamic equilibrium and thereby keeps the body healthy (</w:t>
      </w:r>
      <w:proofErr w:type="spellStart"/>
      <w:r w:rsidRPr="00022AA6">
        <w:t>Syeda</w:t>
      </w:r>
      <w:proofErr w:type="spellEnd"/>
      <w:r w:rsidRPr="00022AA6">
        <w:t xml:space="preserve"> 971).</w:t>
      </w:r>
      <w:r w:rsidR="00477C67">
        <w:t xml:space="preserve"> </w:t>
      </w:r>
      <w:r w:rsidRPr="00022AA6">
        <w:t xml:space="preserve"> The correct proportion of these four </w:t>
      </w:r>
      <w:proofErr w:type="spellStart"/>
      <w:r w:rsidRPr="00022AA6">
        <w:t>humors</w:t>
      </w:r>
      <w:proofErr w:type="spellEnd"/>
      <w:r w:rsidRPr="00022AA6">
        <w:t xml:space="preserve"> can</w:t>
      </w:r>
      <w:r>
        <w:t xml:space="preserve"> </w:t>
      </w:r>
      <w:r w:rsidRPr="00022AA6">
        <w:t>be aﬀected by six factors</w:t>
      </w:r>
      <w:proofErr w:type="gramStart"/>
      <w:r w:rsidRPr="00022AA6">
        <w:t>,</w:t>
      </w:r>
      <w:proofErr w:type="gramEnd"/>
      <w:r w:rsidR="00477C67">
        <w:rPr>
          <w:rStyle w:val="FootnoteReference"/>
        </w:rPr>
        <w:footnoteReference w:id="5"/>
      </w:r>
      <w:r w:rsidRPr="007E5BB9">
        <w:rPr>
          <w:rStyle w:val="EndnoteReference"/>
        </w:rPr>
        <w:t xml:space="preserve"> </w:t>
      </w:r>
      <w:r w:rsidRPr="00022AA6">
        <w:t>comprising various environmental, dietary, and psychological inﬂuences (</w:t>
      </w:r>
      <w:proofErr w:type="spellStart"/>
      <w:r w:rsidRPr="00022AA6">
        <w:t>Verotta</w:t>
      </w:r>
      <w:proofErr w:type="spellEnd"/>
      <w:r w:rsidRPr="00022AA6">
        <w:t xml:space="preserve"> 61).</w:t>
      </w:r>
      <w:r w:rsidR="00B97B9E">
        <w:t xml:space="preserve"> </w:t>
      </w:r>
      <w:r w:rsidRPr="00022AA6">
        <w:t xml:space="preserve"> Curing disease often involves suppressing the over-active </w:t>
      </w:r>
      <w:proofErr w:type="spellStart"/>
      <w:r w:rsidRPr="00022AA6">
        <w:t>humor</w:t>
      </w:r>
      <w:proofErr w:type="spellEnd"/>
      <w:r w:rsidRPr="00022AA6">
        <w:t xml:space="preserve"> while encouraging the under-active one. </w:t>
      </w:r>
      <w:r w:rsidR="00B97B9E">
        <w:t xml:space="preserve"> </w:t>
      </w:r>
      <w:r w:rsidRPr="00022AA6">
        <w:t>Even “modern” Western medicine in the nineteenth century integrated some theories related to humoral medicine (</w:t>
      </w:r>
      <w:proofErr w:type="spellStart"/>
      <w:r w:rsidRPr="00022AA6">
        <w:t>Mahdavi</w:t>
      </w:r>
      <w:proofErr w:type="spellEnd"/>
      <w:r w:rsidRPr="00022AA6">
        <w:t xml:space="preserve"> 170).</w:t>
      </w:r>
    </w:p>
    <w:p w:rsidR="00022AA6" w:rsidRPr="00022AA6" w:rsidRDefault="00022AA6" w:rsidP="00B97B9E">
      <w:pPr>
        <w:pStyle w:val="Text"/>
      </w:pPr>
      <w:r w:rsidRPr="00022AA6">
        <w:t>In 1851, Persia’s ﬁrst medical school</w:t>
      </w:r>
      <w:r w:rsidR="00B97B9E">
        <w:t xml:space="preserve"> </w:t>
      </w:r>
      <w:r w:rsidRPr="00022AA6">
        <w:t>teaching a European-style curriculum was established in Tehran (</w:t>
      </w:r>
      <w:proofErr w:type="spellStart"/>
      <w:r w:rsidRPr="00022AA6">
        <w:t>Pourahmad</w:t>
      </w:r>
      <w:proofErr w:type="spellEnd"/>
      <w:r w:rsidRPr="00022AA6">
        <w:t xml:space="preserve"> 98).</w:t>
      </w:r>
      <w:r w:rsidR="00B97B9E">
        <w:t xml:space="preserve"> </w:t>
      </w:r>
      <w:r w:rsidRPr="00022AA6">
        <w:t xml:space="preserve"> It was called </w:t>
      </w:r>
      <w:proofErr w:type="spellStart"/>
      <w:r w:rsidRPr="00022AA6">
        <w:t>D</w:t>
      </w:r>
      <w:r w:rsidR="00B97B9E" w:rsidRPr="00B97B9E">
        <w:t>á</w:t>
      </w:r>
      <w:r w:rsidRPr="00022AA6">
        <w:t>r</w:t>
      </w:r>
      <w:proofErr w:type="spellEnd"/>
      <w:r w:rsidRPr="00022AA6">
        <w:t xml:space="preserve"> al-</w:t>
      </w:r>
      <w:proofErr w:type="spellStart"/>
      <w:r w:rsidRPr="00022AA6">
        <w:t>Fan</w:t>
      </w:r>
      <w:r w:rsidR="00B97B9E" w:rsidRPr="00B97B9E">
        <w:t>ú</w:t>
      </w:r>
      <w:r w:rsidRPr="00022AA6">
        <w:t>n</w:t>
      </w:r>
      <w:proofErr w:type="spellEnd"/>
      <w:r w:rsidRPr="00022AA6">
        <w:t>,</w:t>
      </w:r>
      <w:r w:rsidR="00B97B9E">
        <w:rPr>
          <w:rStyle w:val="FootnoteReference"/>
        </w:rPr>
        <w:footnoteReference w:customMarkFollows="1" w:id="6"/>
        <w:t>*</w:t>
      </w:r>
      <w:r w:rsidRPr="00022AA6">
        <w:t xml:space="preserve"> and by 1925, 253 general medical practitioners had trained there. </w:t>
      </w:r>
      <w:r w:rsidR="00B97B9E">
        <w:t xml:space="preserve"> </w:t>
      </w:r>
      <w:r w:rsidRPr="00022AA6">
        <w:t>In the same year, from other training settings, there were 652 medical practitioners who had learned medicine through the more traditional, experiential model (</w:t>
      </w:r>
      <w:proofErr w:type="spellStart"/>
      <w:r w:rsidRPr="00022AA6">
        <w:t>Pourahmad</w:t>
      </w:r>
      <w:proofErr w:type="spellEnd"/>
      <w:r w:rsidRPr="00022AA6">
        <w:t xml:space="preserve"> 98). </w:t>
      </w:r>
      <w:r w:rsidR="00B97B9E">
        <w:t xml:space="preserve"> </w:t>
      </w:r>
      <w:r w:rsidRPr="00022AA6">
        <w:t xml:space="preserve">Interestingly, the </w:t>
      </w:r>
      <w:proofErr w:type="spellStart"/>
      <w:r w:rsidRPr="00022AA6">
        <w:t>D</w:t>
      </w:r>
      <w:r w:rsidR="00B97B9E" w:rsidRPr="00B97B9E">
        <w:t>á</w:t>
      </w:r>
      <w:r w:rsidRPr="00022AA6">
        <w:t>r</w:t>
      </w:r>
      <w:proofErr w:type="spellEnd"/>
      <w:r w:rsidRPr="00022AA6">
        <w:t xml:space="preserve"> al-</w:t>
      </w:r>
      <w:proofErr w:type="spellStart"/>
      <w:r w:rsidRPr="00022AA6">
        <w:t>Fan</w:t>
      </w:r>
      <w:r w:rsidR="00B97B9E" w:rsidRPr="00B97B9E">
        <w:t>ú</w:t>
      </w:r>
      <w:r w:rsidRPr="00022AA6">
        <w:t>n</w:t>
      </w:r>
      <w:proofErr w:type="spellEnd"/>
      <w:r w:rsidRPr="00022AA6">
        <w:t xml:space="preserve"> school provided training in both modern Western and traditional medicine (</w:t>
      </w:r>
      <w:proofErr w:type="spellStart"/>
      <w:r w:rsidRPr="00022AA6">
        <w:t>Ebrahimnejad</w:t>
      </w:r>
      <w:proofErr w:type="spellEnd"/>
      <w:r w:rsidRPr="00022AA6">
        <w:t xml:space="preserve">, </w:t>
      </w:r>
      <w:r w:rsidRPr="00022AA6">
        <w:rPr>
          <w:i/>
          <w:iCs/>
        </w:rPr>
        <w:t xml:space="preserve">Medicine </w:t>
      </w:r>
      <w:r w:rsidRPr="00022AA6">
        <w:t>102), in order to quell the conﬂict between the traditional and modern medical sciences brewing among the lay public, clergy, and medical practitioners (</w:t>
      </w:r>
      <w:proofErr w:type="spellStart"/>
      <w:r w:rsidRPr="00022AA6">
        <w:t>Mahdavi</w:t>
      </w:r>
      <w:proofErr w:type="spellEnd"/>
      <w:r w:rsidRPr="00022AA6">
        <w:t xml:space="preserve"> 185).</w:t>
      </w:r>
    </w:p>
    <w:p w:rsidR="00022AA6" w:rsidRPr="00022AA6" w:rsidRDefault="00022AA6" w:rsidP="00022AA6">
      <w:pPr>
        <w:pStyle w:val="Text"/>
      </w:pPr>
      <w:r w:rsidRPr="00022AA6">
        <w:t>Religion and faith practices</w:t>
      </w:r>
      <w:r>
        <w:t xml:space="preserve"> </w:t>
      </w:r>
      <w:r w:rsidRPr="00022AA6">
        <w:t xml:space="preserve">were an important component of nineteenth-century Persian medicine. </w:t>
      </w:r>
      <w:r w:rsidR="003608B8">
        <w:t xml:space="preserve"> </w:t>
      </w:r>
      <w:r w:rsidRPr="00022AA6">
        <w:t xml:space="preserve">The </w:t>
      </w:r>
      <w:proofErr w:type="gramStart"/>
      <w:r w:rsidRPr="00022AA6">
        <w:t>Qur’án</w:t>
      </w:r>
      <w:proofErr w:type="gramEnd"/>
      <w:r w:rsidRPr="00022AA6">
        <w:t xml:space="preserve"> was seen as a complete guide to health, and everyone, especially the ‘ulamá (Muslim clergy), was expected to have some knowledge of medicine (</w:t>
      </w:r>
      <w:proofErr w:type="spellStart"/>
      <w:r w:rsidRPr="00022AA6">
        <w:t>Ebrahimnejad</w:t>
      </w:r>
      <w:proofErr w:type="spellEnd"/>
      <w:r w:rsidRPr="00022AA6">
        <w:t xml:space="preserve">, “Theory” 175). </w:t>
      </w:r>
      <w:r w:rsidR="003608B8">
        <w:t xml:space="preserve"> </w:t>
      </w:r>
      <w:r w:rsidRPr="00022AA6">
        <w:t xml:space="preserve">Consequently, religious interpretations and practices were often intermingled with medical treatments (175). </w:t>
      </w:r>
      <w:r w:rsidR="003608B8">
        <w:t xml:space="preserve"> </w:t>
      </w:r>
      <w:r w:rsidRPr="00022AA6">
        <w:t>In fact, prior to the introduction of so-called “Western” medicine in Persia, the ‘ulamá had a “monopoly” on medical education (</w:t>
      </w:r>
      <w:proofErr w:type="spellStart"/>
      <w:r w:rsidRPr="00022AA6">
        <w:t>Mahdavi</w:t>
      </w:r>
      <w:proofErr w:type="spellEnd"/>
      <w:r w:rsidRPr="00022AA6">
        <w:t xml:space="preserve"> 186). </w:t>
      </w:r>
      <w:r w:rsidR="003608B8">
        <w:t xml:space="preserve"> </w:t>
      </w:r>
      <w:proofErr w:type="gramStart"/>
      <w:r w:rsidRPr="00022AA6">
        <w:t>The ‘ulamá used their knowledge and practice of medicine as a means of maintaining authority and control over the population.</w:t>
      </w:r>
      <w:proofErr w:type="gramEnd"/>
      <w:r w:rsidR="003608B8">
        <w:t xml:space="preserve"> </w:t>
      </w:r>
      <w:r w:rsidRPr="00022AA6">
        <w:t xml:space="preserve"> Western medicine thus became a threat to the clergy’s power (186). </w:t>
      </w:r>
      <w:r w:rsidR="003608B8">
        <w:t xml:space="preserve"> </w:t>
      </w:r>
      <w:r w:rsidRPr="00022AA6">
        <w:t xml:space="preserve">It is in this context that one can glimpse the interaction between Bahá’í religious practice and medicine in the </w:t>
      </w:r>
      <w:r w:rsidR="003D0280" w:rsidRPr="00022AA6">
        <w:t>Law</w:t>
      </w:r>
      <w:r w:rsidR="003D0280" w:rsidRPr="003D0280">
        <w:t>ḥ</w:t>
      </w:r>
      <w:r w:rsidRPr="00022AA6">
        <w:t>-</w:t>
      </w:r>
      <w:proofErr w:type="spellStart"/>
      <w:r w:rsidRPr="00022AA6">
        <w:t>i</w:t>
      </w:r>
      <w:proofErr w:type="spellEnd"/>
      <w:r w:rsidRPr="00022AA6">
        <w:t>-</w:t>
      </w:r>
      <w:proofErr w:type="spellStart"/>
      <w:r w:rsidR="003D0280" w:rsidRPr="00E31A27">
        <w:rPr>
          <w:rFonts w:eastAsia="PMingLiU"/>
          <w:lang w:eastAsia="zh-TW"/>
        </w:rPr>
        <w:t>Ṭibb</w:t>
      </w:r>
      <w:proofErr w:type="spellEnd"/>
      <w:r w:rsidRPr="00022AA6">
        <w:t>.</w:t>
      </w:r>
    </w:p>
    <w:p w:rsidR="00022AA6" w:rsidRPr="00022AA6" w:rsidRDefault="00022AA6" w:rsidP="00321CF2">
      <w:pPr>
        <w:pStyle w:val="Text"/>
      </w:pPr>
      <w:r w:rsidRPr="00022AA6">
        <w:t>Traditional medical practitioners in</w:t>
      </w:r>
      <w:r w:rsidR="003608B8">
        <w:t xml:space="preserve"> </w:t>
      </w:r>
      <w:r w:rsidRPr="00022AA6">
        <w:t>nineteenth-century Persia were known by various designations (</w:t>
      </w:r>
      <w:proofErr w:type="spellStart"/>
      <w:r w:rsidR="003608B8" w:rsidRPr="0012344C">
        <w:rPr>
          <w:i/>
          <w:iCs/>
        </w:rPr>
        <w:t>ṭ</w:t>
      </w:r>
      <w:r w:rsidRPr="00022AA6">
        <w:rPr>
          <w:i/>
          <w:iCs/>
        </w:rPr>
        <w:t>ab</w:t>
      </w:r>
      <w:r w:rsidR="003608B8" w:rsidRPr="0012344C">
        <w:rPr>
          <w:i/>
          <w:iCs/>
        </w:rPr>
        <w:t>í</w:t>
      </w:r>
      <w:r w:rsidRPr="00022AA6">
        <w:rPr>
          <w:i/>
          <w:iCs/>
        </w:rPr>
        <w:t>b</w:t>
      </w:r>
      <w:proofErr w:type="spellEnd"/>
      <w:r w:rsidRPr="00022AA6">
        <w:t xml:space="preserve">, </w:t>
      </w:r>
      <w:proofErr w:type="spellStart"/>
      <w:r w:rsidR="003608B8" w:rsidRPr="0012344C">
        <w:rPr>
          <w:i/>
          <w:iCs/>
        </w:rPr>
        <w:t>ḥ</w:t>
      </w:r>
      <w:r w:rsidRPr="00022AA6">
        <w:rPr>
          <w:i/>
          <w:iCs/>
        </w:rPr>
        <w:t>ak</w:t>
      </w:r>
      <w:r w:rsidR="003608B8" w:rsidRPr="0012344C">
        <w:rPr>
          <w:i/>
          <w:iCs/>
        </w:rPr>
        <w:t>í</w:t>
      </w:r>
      <w:r w:rsidRPr="00022AA6">
        <w:rPr>
          <w:i/>
          <w:iCs/>
        </w:rPr>
        <w:t>m</w:t>
      </w:r>
      <w:proofErr w:type="spellEnd"/>
      <w:r w:rsidRPr="00022AA6">
        <w:t xml:space="preserve">, </w:t>
      </w:r>
      <w:proofErr w:type="spellStart"/>
      <w:r w:rsidR="005059C9" w:rsidRPr="00AF4D34">
        <w:rPr>
          <w:i/>
          <w:iCs/>
        </w:rPr>
        <w:t>mu</w:t>
      </w:r>
      <w:r w:rsidR="005059C9">
        <w:rPr>
          <w:i/>
          <w:iCs/>
        </w:rPr>
        <w:t>’</w:t>
      </w:r>
      <w:r w:rsidR="005059C9" w:rsidRPr="00AF4D34">
        <w:rPr>
          <w:i/>
          <w:iCs/>
        </w:rPr>
        <w:t>álij</w:t>
      </w:r>
      <w:proofErr w:type="spellEnd"/>
      <w:r w:rsidRPr="00022AA6">
        <w:t>, among others), depending on their area of expertise (</w:t>
      </w:r>
      <w:proofErr w:type="spellStart"/>
      <w:r w:rsidRPr="00022AA6">
        <w:t>Ebrahimnejad</w:t>
      </w:r>
      <w:proofErr w:type="spellEnd"/>
      <w:r w:rsidRPr="00022AA6">
        <w:rPr>
          <w:i/>
          <w:iCs/>
        </w:rPr>
        <w:t xml:space="preserve">, </w:t>
      </w:r>
      <w:r w:rsidRPr="00022AA6">
        <w:t xml:space="preserve">“Theory” 173). </w:t>
      </w:r>
      <w:r w:rsidR="00321CF2">
        <w:t xml:space="preserve"> </w:t>
      </w:r>
      <w:r w:rsidRPr="00022AA6">
        <w:t xml:space="preserve">The designation </w:t>
      </w:r>
      <w:proofErr w:type="spellStart"/>
      <w:r w:rsidR="00321CF2" w:rsidRPr="0012344C">
        <w:rPr>
          <w:i/>
          <w:iCs/>
        </w:rPr>
        <w:t>ṭ</w:t>
      </w:r>
      <w:r w:rsidRPr="00022AA6">
        <w:rPr>
          <w:i/>
          <w:iCs/>
        </w:rPr>
        <w:t>ab</w:t>
      </w:r>
      <w:r w:rsidR="00321CF2" w:rsidRPr="0012344C">
        <w:rPr>
          <w:i/>
          <w:iCs/>
        </w:rPr>
        <w:t>í</w:t>
      </w:r>
      <w:r w:rsidRPr="00022AA6">
        <w:rPr>
          <w:i/>
          <w:iCs/>
        </w:rPr>
        <w:t>b</w:t>
      </w:r>
      <w:proofErr w:type="spellEnd"/>
      <w:r w:rsidRPr="00022AA6">
        <w:rPr>
          <w:i/>
          <w:iCs/>
        </w:rPr>
        <w:t xml:space="preserve"> </w:t>
      </w:r>
      <w:r w:rsidRPr="00022AA6">
        <w:t xml:space="preserve">typically denoted a practitioner who treated illness through the use of diet and medications, while other titles were often nebulous in meaning (173). </w:t>
      </w:r>
      <w:r w:rsidR="00321CF2">
        <w:t xml:space="preserve"> </w:t>
      </w:r>
      <w:r w:rsidRPr="00022AA6">
        <w:t>In addition, other practitioners—such as barbers, bath attendants, and bone-setters—performed some medical tasks (173).</w:t>
      </w:r>
    </w:p>
    <w:p w:rsidR="00022AA6" w:rsidRPr="00022AA6" w:rsidRDefault="00022AA6" w:rsidP="00022AA6">
      <w:pPr>
        <w:pStyle w:val="Text"/>
      </w:pPr>
      <w:r w:rsidRPr="00022AA6">
        <w:t xml:space="preserve">There were several Western-trained physicians in Iran during the 1800s, some of whom were well known in Persia’s upper class. </w:t>
      </w:r>
      <w:r w:rsidR="00321CF2">
        <w:t xml:space="preserve"> </w:t>
      </w:r>
      <w:r w:rsidRPr="00022AA6">
        <w:t>One of these was</w:t>
      </w:r>
    </w:p>
    <w:p w:rsidR="00321CF2" w:rsidRDefault="00321CF2">
      <w:pPr>
        <w:widowControl/>
        <w:kinsoku/>
        <w:overflowPunct/>
        <w:textAlignment w:val="auto"/>
      </w:pPr>
      <w:r>
        <w:br w:type="page"/>
      </w:r>
    </w:p>
    <w:p w:rsidR="00022AA6" w:rsidRPr="00022AA6" w:rsidRDefault="00022AA6" w:rsidP="00321CF2">
      <w:pPr>
        <w:pStyle w:val="Textcts"/>
      </w:pPr>
      <w:proofErr w:type="gramStart"/>
      <w:r w:rsidRPr="00022AA6">
        <w:lastRenderedPageBreak/>
        <w:t xml:space="preserve">Dr William </w:t>
      </w:r>
      <w:proofErr w:type="spellStart"/>
      <w:r w:rsidRPr="00022AA6">
        <w:t>Cormick</w:t>
      </w:r>
      <w:proofErr w:type="spellEnd"/>
      <w:r w:rsidRPr="00022AA6">
        <w:t>, an Irish-Armenian physician living in Tabriz in 1848 (</w:t>
      </w:r>
      <w:proofErr w:type="spellStart"/>
      <w:r w:rsidRPr="00022AA6">
        <w:t>Momen</w:t>
      </w:r>
      <w:proofErr w:type="spellEnd"/>
      <w:r w:rsidRPr="00022AA6">
        <w:t>).</w:t>
      </w:r>
      <w:proofErr w:type="gramEnd"/>
      <w:r w:rsidR="00321CF2">
        <w:t xml:space="preserve"> </w:t>
      </w:r>
      <w:r w:rsidRPr="00022AA6">
        <w:t xml:space="preserve"> He attended to the Báb while the latter was imprisoned in Tabriz (Browne 260). </w:t>
      </w:r>
      <w:r w:rsidR="00321CF2">
        <w:t xml:space="preserve"> </w:t>
      </w:r>
      <w:r w:rsidRPr="00022AA6">
        <w:t xml:space="preserve">It is noteworthy that when the Báb was oﬀered medical assistance for a facial injury inﬂicted during an interrogation there, instead of requesting a Persian surgeon, He asked speciﬁcally for Dr </w:t>
      </w:r>
      <w:proofErr w:type="spellStart"/>
      <w:r w:rsidRPr="00022AA6">
        <w:t>Cormick</w:t>
      </w:r>
      <w:proofErr w:type="spellEnd"/>
      <w:r w:rsidRPr="00022AA6">
        <w:t xml:space="preserve">. </w:t>
      </w:r>
      <w:r w:rsidR="00321CF2">
        <w:t xml:space="preserve"> </w:t>
      </w:r>
      <w:r w:rsidRPr="00022AA6">
        <w:t xml:space="preserve">The doctor’s report, written directly to the </w:t>
      </w:r>
      <w:r w:rsidRPr="00321CF2">
        <w:rPr>
          <w:u w:val="single"/>
        </w:rPr>
        <w:t>Sh</w:t>
      </w:r>
      <w:r w:rsidR="00321CF2" w:rsidRPr="00321CF2">
        <w:t>á</w:t>
      </w:r>
      <w:r w:rsidRPr="00022AA6">
        <w:t>h himself, helped temporarily save the Báb’s life (Browne 261).</w:t>
      </w:r>
    </w:p>
    <w:p w:rsidR="00022AA6" w:rsidRPr="007E5BB9" w:rsidRDefault="00321CF2" w:rsidP="00321CF2">
      <w:pPr>
        <w:pStyle w:val="Myheadc"/>
      </w:pPr>
      <w:r w:rsidRPr="007E5BB9">
        <w:t>Medicine as science</w:t>
      </w:r>
      <w:r w:rsidR="002A4258">
        <w:t xml:space="preserve">:  </w:t>
      </w:r>
      <w:r>
        <w:t xml:space="preserve"> </w:t>
      </w:r>
      <w:r w:rsidR="00022AA6" w:rsidRPr="007E5BB9">
        <w:t>E</w:t>
      </w:r>
      <w:r w:rsidRPr="007E5BB9">
        <w:t>stablished means</w:t>
      </w:r>
      <w:proofErr w:type="gramStart"/>
      <w:r w:rsidRPr="007E5BB9">
        <w:t>,</w:t>
      </w:r>
      <w:proofErr w:type="gramEnd"/>
      <w:r>
        <w:br/>
      </w:r>
      <w:r w:rsidRPr="007E5BB9">
        <w:t>cause</w:t>
      </w:r>
      <w:r>
        <w:t xml:space="preserve"> </w:t>
      </w:r>
      <w:r w:rsidRPr="007E5BB9">
        <w:t>and</w:t>
      </w:r>
      <w:r>
        <w:t xml:space="preserve"> </w:t>
      </w:r>
      <w:r w:rsidRPr="007E5BB9">
        <w:t>effect, and attaining equilibrium</w:t>
      </w:r>
    </w:p>
    <w:p w:rsidR="00022AA6" w:rsidRPr="00022AA6" w:rsidRDefault="00022AA6" w:rsidP="00321CF2">
      <w:pPr>
        <w:pStyle w:val="Text"/>
      </w:pPr>
      <w:r w:rsidRPr="00022AA6">
        <w:t xml:space="preserve">In the </w:t>
      </w:r>
      <w:r w:rsidR="003D0280" w:rsidRPr="00022AA6">
        <w:t>Law</w:t>
      </w:r>
      <w:r w:rsidR="003D0280" w:rsidRPr="003D0280">
        <w:t>ḥ</w:t>
      </w:r>
      <w:r w:rsidRPr="00022AA6">
        <w:t>-</w:t>
      </w:r>
      <w:proofErr w:type="spellStart"/>
      <w:r w:rsidRPr="00022AA6">
        <w:t>i</w:t>
      </w:r>
      <w:proofErr w:type="spellEnd"/>
      <w:r w:rsidRPr="00022AA6">
        <w:t>-</w:t>
      </w:r>
      <w:proofErr w:type="spellStart"/>
      <w:r w:rsidR="003D0280" w:rsidRPr="00E31A27">
        <w:rPr>
          <w:rFonts w:eastAsia="PMingLiU"/>
          <w:lang w:eastAsia="zh-TW"/>
        </w:rPr>
        <w:t>Ṭibb</w:t>
      </w:r>
      <w:proofErr w:type="spellEnd"/>
      <w:r w:rsidRPr="00022AA6">
        <w:t>, Bahá’u’lláh describes medicine as the “science of healing”</w:t>
      </w:r>
      <w:r w:rsidR="00321CF2">
        <w:t>,</w:t>
      </w:r>
      <w:r w:rsidRPr="00022AA6">
        <w:t xml:space="preserve"> and explicitly advocates a scientiﬁc and rational approach to practicing it:</w:t>
      </w:r>
    </w:p>
    <w:p w:rsidR="00022AA6" w:rsidRPr="007E5BB9" w:rsidRDefault="00022AA6" w:rsidP="00321CF2">
      <w:pPr>
        <w:pStyle w:val="Quote"/>
      </w:pPr>
      <w:proofErr w:type="gramStart"/>
      <w:r w:rsidRPr="007E5BB9">
        <w:t>41</w:t>
      </w:r>
      <w:r w:rsidR="00321CF2">
        <w:t xml:space="preserve">  </w:t>
      </w:r>
      <w:r w:rsidRPr="007E5BB9">
        <w:t>Say</w:t>
      </w:r>
      <w:proofErr w:type="gramEnd"/>
      <w:r w:rsidR="002A4258">
        <w:t xml:space="preserve">:  </w:t>
      </w:r>
      <w:r w:rsidRPr="007E5BB9">
        <w:t>The science of healing is the most noble of all the sciences.</w:t>
      </w:r>
    </w:p>
    <w:p w:rsidR="00022AA6" w:rsidRPr="007E5BB9" w:rsidRDefault="00022AA6" w:rsidP="00321CF2">
      <w:pPr>
        <w:pStyle w:val="Quotects"/>
      </w:pPr>
      <w:proofErr w:type="gramStart"/>
      <w:r w:rsidRPr="007E5BB9">
        <w:t>42</w:t>
      </w:r>
      <w:r w:rsidR="00321CF2">
        <w:t xml:space="preserve">  </w:t>
      </w:r>
      <w:r w:rsidRPr="007E5BB9">
        <w:t>Verily</w:t>
      </w:r>
      <w:proofErr w:type="gramEnd"/>
      <w:r w:rsidRPr="007E5BB9">
        <w:t xml:space="preserve">, it is the greatest instrument given by God, the </w:t>
      </w:r>
      <w:proofErr w:type="spellStart"/>
      <w:r w:rsidRPr="007E5BB9">
        <w:t>Quickener</w:t>
      </w:r>
      <w:proofErr w:type="spellEnd"/>
      <w:r w:rsidRPr="007E5BB9">
        <w:t xml:space="preserve"> of mouldering bones, for the preservation of the bodies of peoples. God hath given it precedence over all sciences and branches of wisdom.</w:t>
      </w:r>
    </w:p>
    <w:p w:rsidR="00022AA6" w:rsidRPr="007E5BB9" w:rsidRDefault="00022AA6" w:rsidP="00933C64">
      <w:pPr>
        <w:pStyle w:val="Quote"/>
      </w:pPr>
      <w:proofErr w:type="gramStart"/>
      <w:r w:rsidRPr="007E5BB9">
        <w:t>20</w:t>
      </w:r>
      <w:r w:rsidR="00321CF2">
        <w:t xml:space="preserve">  </w:t>
      </w:r>
      <w:r w:rsidRPr="007E5BB9">
        <w:t>Counter</w:t>
      </w:r>
      <w:proofErr w:type="gramEnd"/>
      <w:r w:rsidRPr="007E5BB9">
        <w:t xml:space="preserve"> disease by utilizing established means (</w:t>
      </w:r>
      <w:proofErr w:type="spellStart"/>
      <w:r w:rsidRPr="00933C64">
        <w:rPr>
          <w:i/>
          <w:iCs w:val="0"/>
        </w:rPr>
        <w:t>bi’l-asb</w:t>
      </w:r>
      <w:r w:rsidR="00933C64" w:rsidRPr="00933C64">
        <w:rPr>
          <w:i/>
          <w:iCs w:val="0"/>
        </w:rPr>
        <w:t>á</w:t>
      </w:r>
      <w:r w:rsidRPr="00933C64">
        <w:rPr>
          <w:i/>
          <w:iCs w:val="0"/>
        </w:rPr>
        <w:t>b</w:t>
      </w:r>
      <w:proofErr w:type="spellEnd"/>
      <w:r w:rsidRPr="007E5BB9">
        <w:t>).</w:t>
      </w:r>
    </w:p>
    <w:p w:rsidR="00022AA6" w:rsidRPr="007E5BB9" w:rsidRDefault="00022AA6" w:rsidP="00321CF2">
      <w:pPr>
        <w:pStyle w:val="Quotects"/>
      </w:pPr>
      <w:proofErr w:type="gramStart"/>
      <w:r w:rsidRPr="007E5BB9">
        <w:t>21</w:t>
      </w:r>
      <w:r w:rsidR="00321CF2">
        <w:t xml:space="preserve">  </w:t>
      </w:r>
      <w:r w:rsidRPr="007E5BB9">
        <w:t>This</w:t>
      </w:r>
      <w:proofErr w:type="gramEnd"/>
      <w:r w:rsidRPr="007E5BB9">
        <w:t xml:space="preserve"> utterance is the decisive command in this discourse. (</w:t>
      </w:r>
      <w:proofErr w:type="spellStart"/>
      <w:r w:rsidRPr="007E5BB9">
        <w:t>Fananapazir</w:t>
      </w:r>
      <w:proofErr w:type="spellEnd"/>
      <w:r w:rsidRPr="007E5BB9">
        <w:t xml:space="preserve"> and </w:t>
      </w:r>
      <w:proofErr w:type="spellStart"/>
      <w:r w:rsidRPr="007E5BB9">
        <w:t>Lambden</w:t>
      </w:r>
      <w:proofErr w:type="spellEnd"/>
      <w:r w:rsidRPr="007E5BB9">
        <w:t xml:space="preserve"> 23)</w:t>
      </w:r>
      <w:r w:rsidR="00321CF2">
        <w:rPr>
          <w:rStyle w:val="FootnoteReference"/>
        </w:rPr>
        <w:footnoteReference w:id="7"/>
      </w:r>
    </w:p>
    <w:p w:rsidR="00022AA6" w:rsidRPr="00022AA6" w:rsidRDefault="00022AA6" w:rsidP="00022AA6">
      <w:pPr>
        <w:pStyle w:val="Text"/>
      </w:pPr>
      <w:r w:rsidRPr="00022AA6">
        <w:t>To paraphrase</w:t>
      </w:r>
      <w:r w:rsidR="002A4258">
        <w:t xml:space="preserve">:  </w:t>
      </w:r>
      <w:r w:rsidRPr="00022AA6">
        <w:t>medicine is a “science of healing” that seeks to discover and use proven therapies (“established means”) to counter disease.</w:t>
      </w:r>
    </w:p>
    <w:p w:rsidR="00022AA6" w:rsidRPr="00022AA6" w:rsidRDefault="00022AA6" w:rsidP="00022AA6">
      <w:pPr>
        <w:pStyle w:val="Text"/>
      </w:pPr>
      <w:r w:rsidRPr="00022AA6">
        <w:t>Since the time this tablet was written, humanity’s knowledge of “established means” has been shaped by a remarkable evolution in scientiﬁc knowledge, both in medical ﬁelds such as anatomy, physiology, microbiology, and nutrition, and in related</w:t>
      </w:r>
      <w:r>
        <w:t xml:space="preserve"> </w:t>
      </w:r>
      <w:r w:rsidRPr="00022AA6">
        <w:t>disciplines</w:t>
      </w:r>
      <w:r>
        <w:t xml:space="preserve"> </w:t>
      </w:r>
      <w:r w:rsidRPr="00022AA6">
        <w:t>such as chemistry, biology, epidemiology, psychology, physics, and mathematics.</w:t>
      </w:r>
      <w:r w:rsidR="00933C64">
        <w:t xml:space="preserve"> </w:t>
      </w:r>
      <w:r w:rsidRPr="00022AA6">
        <w:t xml:space="preserve"> These scientiﬁc discourses have helped us understand the causes and consequences of disease, have allowed us to perform diagnostic tests with accuracy and reproducibility, have given us therapeutic targets, have created a common vocabulary, and have resulted in a systematic approach to further research.</w:t>
      </w:r>
    </w:p>
    <w:p w:rsidR="00022AA6" w:rsidRPr="00022AA6" w:rsidRDefault="00022AA6" w:rsidP="00933C64">
      <w:pPr>
        <w:pStyle w:val="Text"/>
      </w:pPr>
      <w:r w:rsidRPr="00022AA6">
        <w:t>Having designated medicine a</w:t>
      </w:r>
      <w:r w:rsidR="00933C64">
        <w:t xml:space="preserve"> </w:t>
      </w:r>
      <w:r w:rsidRPr="00022AA6">
        <w:t xml:space="preserve">science, Bahá’u’lláh describes two concepts in relation to its study and practice. </w:t>
      </w:r>
      <w:r w:rsidR="00933C64">
        <w:t xml:space="preserve"> </w:t>
      </w:r>
      <w:r w:rsidRPr="00022AA6">
        <w:t>The ﬁrst concept is the phenomenon of cause and eﬀect:</w:t>
      </w:r>
    </w:p>
    <w:p w:rsidR="00022AA6" w:rsidRPr="00022AA6" w:rsidRDefault="00022AA6" w:rsidP="00933C64">
      <w:pPr>
        <w:pStyle w:val="Quote"/>
      </w:pPr>
      <w:proofErr w:type="gramStart"/>
      <w:r w:rsidRPr="007E5BB9">
        <w:t>27</w:t>
      </w:r>
      <w:r w:rsidR="00933C64">
        <w:t xml:space="preserve">  </w:t>
      </w:r>
      <w:r w:rsidRPr="00022AA6">
        <w:t>We</w:t>
      </w:r>
      <w:proofErr w:type="gramEnd"/>
      <w:r w:rsidRPr="00022AA6">
        <w:t>, assuredly, have decreed a cause (</w:t>
      </w:r>
      <w:proofErr w:type="spellStart"/>
      <w:r w:rsidRPr="0012344C">
        <w:rPr>
          <w:i/>
          <w:iCs w:val="0"/>
        </w:rPr>
        <w:t>sababan</w:t>
      </w:r>
      <w:proofErr w:type="spellEnd"/>
      <w:r w:rsidRPr="00022AA6">
        <w:t>)</w:t>
      </w:r>
      <w:r w:rsidR="00933C64">
        <w:rPr>
          <w:rStyle w:val="FootnoteReference"/>
        </w:rPr>
        <w:footnoteReference w:customMarkFollows="1" w:id="8"/>
        <w:t>*</w:t>
      </w:r>
      <w:r w:rsidRPr="00022AA6">
        <w:t xml:space="preserve"> for all things and vouchsafed everything with an eﬀect (</w:t>
      </w:r>
      <w:r w:rsidRPr="0012344C">
        <w:rPr>
          <w:i/>
          <w:iCs w:val="0"/>
        </w:rPr>
        <w:t>al-</w:t>
      </w:r>
      <w:proofErr w:type="spellStart"/>
      <w:r w:rsidRPr="0012344C">
        <w:rPr>
          <w:i/>
          <w:iCs w:val="0"/>
        </w:rPr>
        <w:t>a</w:t>
      </w:r>
      <w:r w:rsidRPr="0012344C">
        <w:rPr>
          <w:i/>
          <w:iCs w:val="0"/>
          <w:u w:val="single"/>
        </w:rPr>
        <w:t>th</w:t>
      </w:r>
      <w:r w:rsidRPr="0012344C">
        <w:rPr>
          <w:i/>
          <w:iCs w:val="0"/>
        </w:rPr>
        <w:t>ar</w:t>
      </w:r>
      <w:proofErr w:type="spellEnd"/>
      <w:r w:rsidRPr="00022AA6">
        <w:t>).</w:t>
      </w:r>
    </w:p>
    <w:p w:rsidR="00022AA6" w:rsidRPr="00022AA6" w:rsidRDefault="00022AA6" w:rsidP="00933C64">
      <w:pPr>
        <w:pStyle w:val="Quotects"/>
      </w:pPr>
      <w:proofErr w:type="gramStart"/>
      <w:r w:rsidRPr="007E5BB9">
        <w:t>28</w:t>
      </w:r>
      <w:r w:rsidR="00933C64">
        <w:t xml:space="preserve">  </w:t>
      </w:r>
      <w:r w:rsidRPr="00022AA6">
        <w:t>All</w:t>
      </w:r>
      <w:proofErr w:type="gramEnd"/>
      <w:r w:rsidRPr="00022AA6">
        <w:t xml:space="preserve"> of this is by virtue of the eﬀulgence of My Name, the Efﬁcacious (“Producer of Eﬀects,” </w:t>
      </w:r>
      <w:r w:rsidRPr="00980DC9">
        <w:rPr>
          <w:i/>
          <w:iCs/>
        </w:rPr>
        <w:t>al-</w:t>
      </w:r>
      <w:proofErr w:type="spellStart"/>
      <w:r w:rsidRPr="00980DC9">
        <w:rPr>
          <w:i/>
          <w:iCs/>
        </w:rPr>
        <w:t>mu’a</w:t>
      </w:r>
      <w:r w:rsidRPr="002A4258">
        <w:rPr>
          <w:i/>
          <w:iCs/>
          <w:u w:val="single"/>
        </w:rPr>
        <w:t>thth</w:t>
      </w:r>
      <w:r w:rsidRPr="00980DC9">
        <w:rPr>
          <w:i/>
          <w:iCs/>
        </w:rPr>
        <w:t>ir</w:t>
      </w:r>
      <w:proofErr w:type="spellEnd"/>
      <w:r w:rsidRPr="00022AA6">
        <w:t>) upon existing things. (</w:t>
      </w:r>
      <w:proofErr w:type="spellStart"/>
      <w:r w:rsidRPr="00022AA6">
        <w:t>Fananapazir</w:t>
      </w:r>
      <w:proofErr w:type="spellEnd"/>
      <w:r w:rsidRPr="00022AA6">
        <w:t xml:space="preserve"> and </w:t>
      </w:r>
      <w:proofErr w:type="spellStart"/>
      <w:r w:rsidRPr="00022AA6">
        <w:t>Lambden</w:t>
      </w:r>
      <w:proofErr w:type="spellEnd"/>
      <w:r w:rsidRPr="00022AA6">
        <w:t xml:space="preserve"> 23)</w:t>
      </w:r>
    </w:p>
    <w:p w:rsidR="002A4258" w:rsidRDefault="002A4258">
      <w:pPr>
        <w:widowControl/>
        <w:kinsoku/>
        <w:overflowPunct/>
        <w:textAlignment w:val="auto"/>
      </w:pPr>
      <w:r>
        <w:br w:type="page"/>
      </w:r>
    </w:p>
    <w:p w:rsidR="00022AA6" w:rsidRPr="00022AA6" w:rsidRDefault="00022AA6" w:rsidP="00022AA6">
      <w:pPr>
        <w:pStyle w:val="Text"/>
      </w:pPr>
      <w:r w:rsidRPr="00022AA6">
        <w:lastRenderedPageBreak/>
        <w:t xml:space="preserve">The second concept is the equilibrium among various constituents of the human body. </w:t>
      </w:r>
      <w:r w:rsidR="002A4258">
        <w:t xml:space="preserve"> </w:t>
      </w:r>
      <w:r w:rsidRPr="00022AA6">
        <w:t xml:space="preserve">In describing the eﬀects that His instructions will have on the body, Bahá’u’lláh employs the medical terminology used in theories of </w:t>
      </w:r>
      <w:proofErr w:type="spellStart"/>
      <w:r w:rsidRPr="00022AA6">
        <w:t>humoralism</w:t>
      </w:r>
      <w:proofErr w:type="spellEnd"/>
      <w:r w:rsidRPr="00022AA6">
        <w:t>—terms that were familiar to the tablet’s recipient:</w:t>
      </w:r>
    </w:p>
    <w:p w:rsidR="00022AA6" w:rsidRPr="00980DC9" w:rsidRDefault="00022AA6" w:rsidP="002A4258">
      <w:pPr>
        <w:pStyle w:val="Quote"/>
      </w:pPr>
      <w:proofErr w:type="gramStart"/>
      <w:r w:rsidRPr="007E5BB9">
        <w:t>30</w:t>
      </w:r>
      <w:r w:rsidR="002A4258">
        <w:t xml:space="preserve">  </w:t>
      </w:r>
      <w:r w:rsidRPr="00022AA6">
        <w:t>Say</w:t>
      </w:r>
      <w:proofErr w:type="gramEnd"/>
      <w:r w:rsidR="002A4258">
        <w:t xml:space="preserve">:  </w:t>
      </w:r>
      <w:r w:rsidRPr="00022AA6">
        <w:t>Through all that which We have expounded the [equilibrium of the] four humours (</w:t>
      </w:r>
      <w:r w:rsidRPr="0012344C">
        <w:rPr>
          <w:i/>
          <w:iCs w:val="0"/>
        </w:rPr>
        <w:t>al-</w:t>
      </w:r>
      <w:proofErr w:type="spellStart"/>
      <w:r w:rsidRPr="0012344C">
        <w:rPr>
          <w:i/>
          <w:iCs w:val="0"/>
        </w:rPr>
        <w:t>a</w:t>
      </w:r>
      <w:r w:rsidRPr="0012344C">
        <w:rPr>
          <w:i/>
          <w:iCs w:val="0"/>
          <w:u w:val="single"/>
        </w:rPr>
        <w:t>kh</w:t>
      </w:r>
      <w:r w:rsidRPr="0012344C">
        <w:rPr>
          <w:i/>
          <w:iCs w:val="0"/>
        </w:rPr>
        <w:t>l</w:t>
      </w:r>
      <w:r w:rsidR="002A4258" w:rsidRPr="0012344C">
        <w:rPr>
          <w:i/>
          <w:iCs w:val="0"/>
        </w:rPr>
        <w:t>áṭ</w:t>
      </w:r>
      <w:proofErr w:type="spellEnd"/>
      <w:r w:rsidRPr="00022AA6">
        <w:t>) will not exceed their moderate balance (</w:t>
      </w:r>
      <w:r w:rsidRPr="0012344C">
        <w:rPr>
          <w:i/>
          <w:iCs w:val="0"/>
        </w:rPr>
        <w:t>al-</w:t>
      </w:r>
      <w:proofErr w:type="spellStart"/>
      <w:r w:rsidRPr="0012344C">
        <w:rPr>
          <w:i/>
          <w:iCs w:val="0"/>
        </w:rPr>
        <w:t>i</w:t>
      </w:r>
      <w:r w:rsidR="002A4258" w:rsidRPr="0012344C">
        <w:rPr>
          <w:i/>
          <w:iCs w:val="0"/>
        </w:rPr>
        <w:t>‘</w:t>
      </w:r>
      <w:r w:rsidRPr="0012344C">
        <w:rPr>
          <w:i/>
          <w:iCs w:val="0"/>
        </w:rPr>
        <w:t>tid</w:t>
      </w:r>
      <w:r w:rsidR="002A4258" w:rsidRPr="0012344C">
        <w:rPr>
          <w:i/>
          <w:iCs w:val="0"/>
        </w:rPr>
        <w:t>á</w:t>
      </w:r>
      <w:r w:rsidRPr="0012344C">
        <w:rPr>
          <w:i/>
          <w:iCs w:val="0"/>
        </w:rPr>
        <w:t>l</w:t>
      </w:r>
      <w:proofErr w:type="spellEnd"/>
      <w:r w:rsidRPr="00022AA6">
        <w:t>); neither will their measures deviate from their mean conditions.</w:t>
      </w:r>
      <w:r w:rsidR="002A4258">
        <w:rPr>
          <w:rStyle w:val="FootnoteReference"/>
        </w:rPr>
        <w:footnoteReference w:id="9"/>
      </w:r>
    </w:p>
    <w:p w:rsidR="00022AA6" w:rsidRPr="00980DC9" w:rsidRDefault="00022AA6" w:rsidP="0061110B">
      <w:pPr>
        <w:pStyle w:val="Quotects"/>
      </w:pPr>
      <w:proofErr w:type="gramStart"/>
      <w:r w:rsidRPr="007E5BB9">
        <w:t>31</w:t>
      </w:r>
      <w:r w:rsidR="002A4258">
        <w:t xml:space="preserve">  </w:t>
      </w:r>
      <w:r w:rsidRPr="00022AA6">
        <w:t>The</w:t>
      </w:r>
      <w:proofErr w:type="gramEnd"/>
      <w:r w:rsidRPr="00022AA6">
        <w:t xml:space="preserve"> [human constitutional] foundation will remain in its purity and the “sixth part” and the “sixth of the sixth part” (</w:t>
      </w:r>
      <w:proofErr w:type="spellStart"/>
      <w:r w:rsidRPr="00980DC9">
        <w:rPr>
          <w:i/>
          <w:iCs/>
        </w:rPr>
        <w:t>wa’</w:t>
      </w:r>
      <w:r w:rsidR="0061110B">
        <w:rPr>
          <w:i/>
          <w:iCs/>
        </w:rPr>
        <w:t>s</w:t>
      </w:r>
      <w:proofErr w:type="spellEnd"/>
      <w:r w:rsidRPr="00980DC9">
        <w:rPr>
          <w:i/>
          <w:iCs/>
        </w:rPr>
        <w:t xml:space="preserve">-suds </w:t>
      </w:r>
      <w:proofErr w:type="spellStart"/>
      <w:r w:rsidRPr="00980DC9">
        <w:rPr>
          <w:i/>
          <w:iCs/>
        </w:rPr>
        <w:t>wa</w:t>
      </w:r>
      <w:proofErr w:type="spellEnd"/>
      <w:r w:rsidRPr="00980DC9">
        <w:rPr>
          <w:i/>
          <w:iCs/>
        </w:rPr>
        <w:t xml:space="preserve"> suds a</w:t>
      </w:r>
      <w:r w:rsidR="004E33C5">
        <w:rPr>
          <w:i/>
          <w:iCs/>
        </w:rPr>
        <w:t>s</w:t>
      </w:r>
      <w:r w:rsidRPr="00980DC9">
        <w:rPr>
          <w:i/>
          <w:iCs/>
        </w:rPr>
        <w:t>-suds</w:t>
      </w:r>
      <w:r w:rsidRPr="00022AA6">
        <w:t>) in their stable condition.</w:t>
      </w:r>
      <w:r w:rsidR="00C4186D">
        <w:rPr>
          <w:rStyle w:val="FootnoteReference"/>
        </w:rPr>
        <w:footnoteReference w:id="10"/>
      </w:r>
    </w:p>
    <w:p w:rsidR="00022AA6" w:rsidRPr="00022AA6" w:rsidRDefault="00022AA6" w:rsidP="00DD5F4C">
      <w:pPr>
        <w:pStyle w:val="Quotects"/>
      </w:pPr>
      <w:proofErr w:type="gramStart"/>
      <w:r w:rsidRPr="007E5BB9">
        <w:t>32</w:t>
      </w:r>
      <w:r w:rsidR="002A4258">
        <w:t xml:space="preserve">  </w:t>
      </w:r>
      <w:r w:rsidRPr="00022AA6">
        <w:t>The</w:t>
      </w:r>
      <w:proofErr w:type="gramEnd"/>
      <w:r w:rsidRPr="00022AA6">
        <w:t xml:space="preserve"> twin active forces (</w:t>
      </w:r>
      <w:proofErr w:type="spellStart"/>
      <w:r w:rsidRPr="00980DC9">
        <w:rPr>
          <w:i/>
          <w:iCs/>
        </w:rPr>
        <w:t>f</w:t>
      </w:r>
      <w:r w:rsidR="006E70D2" w:rsidRPr="0012344C">
        <w:rPr>
          <w:i/>
          <w:iCs/>
        </w:rPr>
        <w:t>á‘</w:t>
      </w:r>
      <w:r w:rsidRPr="00980DC9">
        <w:rPr>
          <w:i/>
          <w:iCs/>
        </w:rPr>
        <w:t>il</w:t>
      </w:r>
      <w:r w:rsidR="00DD5F4C" w:rsidRPr="0012344C">
        <w:rPr>
          <w:i/>
          <w:iCs/>
        </w:rPr>
        <w:t>ú</w:t>
      </w:r>
      <w:r w:rsidRPr="00980DC9">
        <w:rPr>
          <w:i/>
          <w:iCs/>
        </w:rPr>
        <w:t>n</w:t>
      </w:r>
      <w:proofErr w:type="spellEnd"/>
      <w:r w:rsidRPr="00022AA6">
        <w:t>) and the twin passive realities (</w:t>
      </w:r>
      <w:proofErr w:type="spellStart"/>
      <w:r w:rsidRPr="00980DC9">
        <w:rPr>
          <w:i/>
          <w:iCs/>
        </w:rPr>
        <w:t>munfa</w:t>
      </w:r>
      <w:r w:rsidR="006E70D2">
        <w:rPr>
          <w:i/>
          <w:iCs/>
        </w:rPr>
        <w:t>‘</w:t>
      </w:r>
      <w:r w:rsidRPr="00980DC9">
        <w:rPr>
          <w:i/>
          <w:iCs/>
        </w:rPr>
        <w:t>il</w:t>
      </w:r>
      <w:r w:rsidR="00DD5F4C" w:rsidRPr="0012344C">
        <w:rPr>
          <w:i/>
          <w:iCs/>
        </w:rPr>
        <w:t>ú</w:t>
      </w:r>
      <w:r w:rsidRPr="00980DC9">
        <w:rPr>
          <w:i/>
          <w:iCs/>
        </w:rPr>
        <w:t>n</w:t>
      </w:r>
      <w:proofErr w:type="spellEnd"/>
      <w:r w:rsidRPr="00022AA6">
        <w:t>) will be rendered whole. (</w:t>
      </w:r>
      <w:proofErr w:type="spellStart"/>
      <w:r w:rsidRPr="00022AA6">
        <w:t>Fananapazir</w:t>
      </w:r>
      <w:proofErr w:type="spellEnd"/>
      <w:r w:rsidRPr="00022AA6">
        <w:t xml:space="preserve"> and </w:t>
      </w:r>
      <w:proofErr w:type="spellStart"/>
      <w:r w:rsidRPr="00022AA6">
        <w:t>Lambden</w:t>
      </w:r>
      <w:proofErr w:type="spellEnd"/>
      <w:r w:rsidRPr="00022AA6">
        <w:t xml:space="preserve"> 23)</w:t>
      </w:r>
    </w:p>
    <w:p w:rsidR="00022AA6" w:rsidRPr="00022AA6" w:rsidRDefault="00022AA6" w:rsidP="00AC3D9F">
      <w:pPr>
        <w:pStyle w:val="Text"/>
      </w:pPr>
      <w:r w:rsidRPr="00022AA6">
        <w:t>Line 30 suggests that Bahá’u’lláh’s teachings—either those conveyed in this tablet or throughout His entire</w:t>
      </w:r>
      <w:r w:rsidR="006E70D2">
        <w:t xml:space="preserve"> </w:t>
      </w:r>
      <w:r w:rsidRPr="00022AA6">
        <w:t xml:space="preserve">revelation—will help one achieve a healthy equilibrium among the four </w:t>
      </w:r>
      <w:proofErr w:type="spellStart"/>
      <w:r w:rsidRPr="00022AA6">
        <w:t>humors</w:t>
      </w:r>
      <w:proofErr w:type="spellEnd"/>
      <w:r w:rsidRPr="00022AA6">
        <w:t xml:space="preserve"> as well as healthy levels of each. </w:t>
      </w:r>
      <w:r w:rsidR="00AC3D9F">
        <w:t xml:space="preserve"> </w:t>
      </w:r>
      <w:proofErr w:type="spellStart"/>
      <w:r w:rsidRPr="00022AA6">
        <w:t>Fananapazir</w:t>
      </w:r>
      <w:proofErr w:type="spellEnd"/>
      <w:r w:rsidRPr="00022AA6">
        <w:t xml:space="preserve"> and </w:t>
      </w:r>
      <w:proofErr w:type="spellStart"/>
      <w:r w:rsidRPr="00022AA6">
        <w:t>Lambden</w:t>
      </w:r>
      <w:proofErr w:type="spellEnd"/>
      <w:r w:rsidRPr="00022AA6">
        <w:t xml:space="preserve"> provisionally translate a quote from Bahá’u’lláh wherein He answers a question regarding line 31 of this tablet (47).</w:t>
      </w:r>
      <w:r w:rsidR="00AC3D9F">
        <w:rPr>
          <w:rStyle w:val="FootnoteReference"/>
        </w:rPr>
        <w:footnoteReference w:id="11"/>
      </w:r>
      <w:r w:rsidR="00AC3D9F">
        <w:t xml:space="preserve">  </w:t>
      </w:r>
      <w:r w:rsidRPr="00022AA6">
        <w:t xml:space="preserve">In His explanation, Bahá’u’lláh states that the “sixth part” and the “sixth of the sixth part” are referring to humoral balance. </w:t>
      </w:r>
      <w:r w:rsidR="00DA3112">
        <w:t xml:space="preserve"> </w:t>
      </w:r>
      <w:r w:rsidRPr="00022AA6">
        <w:t xml:space="preserve">Interestingly, He also says that this description of humoral balance “accords with the belief of the people” (47). </w:t>
      </w:r>
      <w:r w:rsidR="00DA3112">
        <w:t xml:space="preserve"> </w:t>
      </w:r>
      <w:r w:rsidRPr="00022AA6">
        <w:t>In adding this qualiﬁer, Bahá’u’lláh may indicate He is utilizing terms and humoral concepts so that the people of the time (especially the recipient of this tablet) could understand.</w:t>
      </w:r>
      <w:r w:rsidR="00DA3112">
        <w:t xml:space="preserve"> </w:t>
      </w:r>
      <w:r w:rsidRPr="00022AA6">
        <w:t xml:space="preserve"> To a modern reader, this response on His part might suggest that Bahá’u’lláh’s knowledge of scientiﬁc reality transcends the knowledge of His time, while these theories of humoral balance may be at best an incomplete understanding of medicine, and at</w:t>
      </w:r>
      <w:r w:rsidR="007E5BB9">
        <w:t xml:space="preserve"> </w:t>
      </w:r>
      <w:r w:rsidRPr="00022AA6">
        <w:t>worst a faulty medical paradigm.</w:t>
      </w:r>
    </w:p>
    <w:p w:rsidR="00022AA6" w:rsidRPr="00022AA6" w:rsidRDefault="00022AA6" w:rsidP="00022AA6">
      <w:pPr>
        <w:pStyle w:val="Text"/>
      </w:pPr>
      <w:r w:rsidRPr="00022AA6">
        <w:t>Notably, Bahá’u’lláh also states that there are “other explanations” for line 31 (</w:t>
      </w:r>
      <w:proofErr w:type="spellStart"/>
      <w:r w:rsidRPr="00022AA6">
        <w:t>Fananapazir</w:t>
      </w:r>
      <w:proofErr w:type="spellEnd"/>
      <w:r w:rsidRPr="00022AA6">
        <w:t xml:space="preserve"> and </w:t>
      </w:r>
      <w:proofErr w:type="spellStart"/>
      <w:r w:rsidRPr="00022AA6">
        <w:t>Lambden</w:t>
      </w:r>
      <w:proofErr w:type="spellEnd"/>
      <w:r w:rsidRPr="00022AA6">
        <w:t xml:space="preserve"> 47).</w:t>
      </w:r>
      <w:r w:rsidR="00DA3112">
        <w:t xml:space="preserve"> </w:t>
      </w:r>
      <w:r w:rsidRPr="00022AA6">
        <w:t xml:space="preserve"> To give one such explanation, this line could refer to the six “un-natural” (or external) inﬂuences that can aﬀect the levels of </w:t>
      </w:r>
      <w:proofErr w:type="spellStart"/>
      <w:r w:rsidRPr="00022AA6">
        <w:t>humors</w:t>
      </w:r>
      <w:proofErr w:type="spellEnd"/>
      <w:r w:rsidRPr="00022AA6">
        <w:t xml:space="preserve"> in the body</w:t>
      </w:r>
      <w:r w:rsidR="002A4258">
        <w:t xml:space="preserve">:  </w:t>
      </w:r>
      <w:r w:rsidRPr="00022AA6">
        <w:t>air (or environment), food and drink, sleep and wakefulness, motion and rest, evacuation and repletion, and passions of the mind (</w:t>
      </w:r>
      <w:proofErr w:type="spellStart"/>
      <w:r w:rsidRPr="00022AA6">
        <w:t>Barryman</w:t>
      </w:r>
      <w:proofErr w:type="spellEnd"/>
      <w:r w:rsidRPr="00022AA6">
        <w:t xml:space="preserve"> 517).</w:t>
      </w:r>
      <w:r w:rsidR="00DA3112">
        <w:t xml:space="preserve"> </w:t>
      </w:r>
      <w:r w:rsidRPr="00022AA6">
        <w:t xml:space="preserve"> These inﬂuences formed part of the classical Greek (</w:t>
      </w:r>
      <w:proofErr w:type="spellStart"/>
      <w:r w:rsidRPr="00022AA6">
        <w:t>Barryman</w:t>
      </w:r>
      <w:proofErr w:type="spellEnd"/>
      <w:r w:rsidRPr="00022AA6">
        <w:t xml:space="preserve"> 517) and Islamic (</w:t>
      </w:r>
      <w:proofErr w:type="spellStart"/>
      <w:r w:rsidRPr="00022AA6">
        <w:t>Deuraseh</w:t>
      </w:r>
      <w:proofErr w:type="spellEnd"/>
      <w:r w:rsidRPr="00022AA6">
        <w:t xml:space="preserve"> 4)</w:t>
      </w:r>
    </w:p>
    <w:p w:rsidR="001A2CEF" w:rsidRDefault="001A2CEF">
      <w:pPr>
        <w:widowControl/>
        <w:kinsoku/>
        <w:overflowPunct/>
        <w:textAlignment w:val="auto"/>
      </w:pPr>
      <w:r>
        <w:br w:type="page"/>
      </w:r>
    </w:p>
    <w:p w:rsidR="00022AA6" w:rsidRPr="00022AA6" w:rsidRDefault="00022AA6" w:rsidP="001A2CEF">
      <w:pPr>
        <w:pStyle w:val="Textcts"/>
      </w:pPr>
      <w:proofErr w:type="gramStart"/>
      <w:r w:rsidRPr="00022AA6">
        <w:lastRenderedPageBreak/>
        <w:t>understanding</w:t>
      </w:r>
      <w:proofErr w:type="gramEnd"/>
      <w:r w:rsidRPr="00022AA6">
        <w:t xml:space="preserve"> of hygiene and preventive health, and were also part of therapeutic modalities for a number of diseases (</w:t>
      </w:r>
      <w:proofErr w:type="spellStart"/>
      <w:r w:rsidRPr="00022AA6">
        <w:t>Barryman</w:t>
      </w:r>
      <w:proofErr w:type="spellEnd"/>
      <w:r w:rsidRPr="00022AA6">
        <w:t xml:space="preserve"> 517).</w:t>
      </w:r>
    </w:p>
    <w:p w:rsidR="00022AA6" w:rsidRPr="00022AA6" w:rsidRDefault="00022AA6" w:rsidP="001A2CEF">
      <w:pPr>
        <w:pStyle w:val="Text"/>
      </w:pPr>
      <w:r w:rsidRPr="00022AA6">
        <w:t>The “active forces” and “passive realities” from line 32 are terms ﬁrst used by Aristotle to describe the properties of the physical world (</w:t>
      </w:r>
      <w:proofErr w:type="spellStart"/>
      <w:r w:rsidRPr="001A2CEF">
        <w:t>Ma</w:t>
      </w:r>
      <w:r w:rsidR="001A2CEF" w:rsidRPr="001A2CEF">
        <w:t>‘á</w:t>
      </w:r>
      <w:r w:rsidRPr="001A2CEF">
        <w:t>n</w:t>
      </w:r>
      <w:r w:rsidR="001A2CEF" w:rsidRPr="001A2CEF">
        <w:t>í</w:t>
      </w:r>
      <w:proofErr w:type="spellEnd"/>
      <w:r w:rsidRPr="00022AA6">
        <w:t xml:space="preserve">). </w:t>
      </w:r>
      <w:r w:rsidR="001A2CEF">
        <w:t xml:space="preserve"> </w:t>
      </w:r>
      <w:r w:rsidRPr="00022AA6">
        <w:t xml:space="preserve">The “twin active forces” are the properties of cold and warm, while the “twin passive realities” are those of wet and dry (Aristotle 482). </w:t>
      </w:r>
      <w:r w:rsidR="001A2CEF">
        <w:t xml:space="preserve"> </w:t>
      </w:r>
      <w:r w:rsidRPr="00022AA6">
        <w:t>The Islamic philosopher al-</w:t>
      </w:r>
      <w:proofErr w:type="spellStart"/>
      <w:r w:rsidRPr="00022AA6">
        <w:t>Kind</w:t>
      </w:r>
      <w:r w:rsidR="001A2CEF" w:rsidRPr="001A2CEF">
        <w:t>í</w:t>
      </w:r>
      <w:proofErr w:type="spellEnd"/>
      <w:r w:rsidRPr="00022AA6">
        <w:t xml:space="preserve"> believed that medicines worked by exerting certain eﬀects based on their physical qualities of warmth, coldness, wetness, or dryness (</w:t>
      </w:r>
      <w:proofErr w:type="spellStart"/>
      <w:r w:rsidR="001A2CEF" w:rsidRPr="001A2CEF">
        <w:t>Ma‘ání</w:t>
      </w:r>
      <w:proofErr w:type="spellEnd"/>
      <w:r w:rsidRPr="00022AA6">
        <w:t xml:space="preserve">). </w:t>
      </w:r>
      <w:r w:rsidR="001A2CEF">
        <w:t xml:space="preserve"> </w:t>
      </w:r>
      <w:proofErr w:type="gramStart"/>
      <w:r w:rsidRPr="00022AA6">
        <w:t>In declaring that His teachings would bring about equilibrium in the human body, Bahá’u’lláh is using terms that were likely familiar to Mull</w:t>
      </w:r>
      <w:r w:rsidR="001A2CEF" w:rsidRPr="001A2CEF">
        <w:t>á</w:t>
      </w:r>
      <w:r w:rsidRPr="00022AA6">
        <w:t xml:space="preserve"> </w:t>
      </w:r>
      <w:r w:rsidR="00957AD0" w:rsidRPr="00022AA6">
        <w:t>Mu</w:t>
      </w:r>
      <w:r w:rsidR="00957AD0" w:rsidRPr="00957AD0">
        <w:t>ḥ</w:t>
      </w:r>
      <w:r w:rsidR="00957AD0" w:rsidRPr="00022AA6">
        <w:t>ammad</w:t>
      </w:r>
      <w:r w:rsidRPr="00022AA6">
        <w:t xml:space="preserve"> </w:t>
      </w:r>
      <w:r w:rsidR="00957AD0" w:rsidRPr="00022AA6">
        <w:t>Ri</w:t>
      </w:r>
      <w:r w:rsidR="00957AD0" w:rsidRPr="00957AD0">
        <w:t>ḍ</w:t>
      </w:r>
      <w:r w:rsidR="00957AD0" w:rsidRPr="00022AA6">
        <w:t>á</w:t>
      </w:r>
      <w:r w:rsidRPr="00022AA6">
        <w:t>’.</w:t>
      </w:r>
      <w:proofErr w:type="gramEnd"/>
      <w:r w:rsidRPr="00022AA6">
        <w:t xml:space="preserve"> </w:t>
      </w:r>
      <w:r w:rsidR="001A2CEF">
        <w:t xml:space="preserve"> </w:t>
      </w:r>
      <w:r w:rsidRPr="00022AA6">
        <w:t>Interestingly, in His Tablet of Wisdom, Bahá’u’lláh refers to the “active force” while describing the origin of the physical universe (</w:t>
      </w:r>
      <w:r w:rsidRPr="00022AA6">
        <w:rPr>
          <w:i/>
          <w:iCs/>
        </w:rPr>
        <w:t xml:space="preserve">Tablets </w:t>
      </w:r>
      <w:r w:rsidRPr="00022AA6">
        <w:t>140).</w:t>
      </w:r>
    </w:p>
    <w:p w:rsidR="00022AA6" w:rsidRPr="00022AA6" w:rsidRDefault="00022AA6" w:rsidP="008E524E">
      <w:pPr>
        <w:pStyle w:val="Text"/>
      </w:pPr>
      <w:r w:rsidRPr="00022AA6">
        <w:t>‘Abdu’l-Bahá, in one of His tablets,</w:t>
      </w:r>
      <w:r w:rsidR="001A2CEF">
        <w:t xml:space="preserve"> </w:t>
      </w:r>
      <w:r w:rsidRPr="00022AA6">
        <w:t>expounds on the theme of equilibrium in health and disease, and encourages the “temperance and moderation of a natural way of life” (</w:t>
      </w:r>
      <w:r w:rsidRPr="00022AA6">
        <w:rPr>
          <w:i/>
          <w:iCs/>
        </w:rPr>
        <w:t xml:space="preserve">Selections </w:t>
      </w:r>
      <w:r w:rsidRPr="00022AA6">
        <w:t xml:space="preserve">153). </w:t>
      </w:r>
      <w:r w:rsidR="008E524E">
        <w:t xml:space="preserve"> </w:t>
      </w:r>
      <w:r w:rsidRPr="00022AA6">
        <w:t>In this same tablet, He refers to medicine as a “science”</w:t>
      </w:r>
      <w:r w:rsidR="008E524E">
        <w:t>,</w:t>
      </w:r>
      <w:r w:rsidRPr="00022AA6">
        <w:t xml:space="preserve"> and on two separate occasions He emphasizes that the concept of equilibrium in medicine “requireth the most careful investigation” (</w:t>
      </w:r>
      <w:r w:rsidRPr="00022AA6">
        <w:rPr>
          <w:i/>
          <w:iCs/>
        </w:rPr>
        <w:t xml:space="preserve">Selections </w:t>
      </w:r>
      <w:r w:rsidRPr="00022AA6">
        <w:t>153–54).</w:t>
      </w:r>
    </w:p>
    <w:p w:rsidR="00022AA6" w:rsidRPr="007E5BB9" w:rsidRDefault="008E524E" w:rsidP="008E524E">
      <w:pPr>
        <w:pStyle w:val="Myheadc"/>
      </w:pPr>
      <w:r w:rsidRPr="007E5BB9">
        <w:t>Characteristics of a physician</w:t>
      </w:r>
    </w:p>
    <w:p w:rsidR="00022AA6" w:rsidRPr="00022AA6" w:rsidRDefault="00022AA6" w:rsidP="008E524E">
      <w:pPr>
        <w:pStyle w:val="Text"/>
      </w:pPr>
      <w:r w:rsidRPr="00022AA6">
        <w:t xml:space="preserve">In the </w:t>
      </w:r>
      <w:r w:rsidR="003D0280" w:rsidRPr="00022AA6">
        <w:t>Law</w:t>
      </w:r>
      <w:r w:rsidR="003D0280" w:rsidRPr="003D0280">
        <w:t>ḥ</w:t>
      </w:r>
      <w:r w:rsidRPr="00022AA6">
        <w:t>-</w:t>
      </w:r>
      <w:proofErr w:type="spellStart"/>
      <w:r w:rsidRPr="00022AA6">
        <w:t>i</w:t>
      </w:r>
      <w:proofErr w:type="spellEnd"/>
      <w:r w:rsidRPr="00022AA6">
        <w:t>-</w:t>
      </w:r>
      <w:proofErr w:type="spellStart"/>
      <w:r w:rsidR="003D0280" w:rsidRPr="00E31A27">
        <w:rPr>
          <w:rFonts w:eastAsia="PMingLiU"/>
          <w:lang w:eastAsia="zh-TW"/>
        </w:rPr>
        <w:t>Ṭibb</w:t>
      </w:r>
      <w:proofErr w:type="spellEnd"/>
      <w:r w:rsidRPr="00022AA6">
        <w:t>, Bahá’u’lláh describes features that would be desirable</w:t>
      </w:r>
      <w:r w:rsidR="008E524E">
        <w:t xml:space="preserve"> </w:t>
      </w:r>
      <w:r w:rsidRPr="00022AA6">
        <w:t xml:space="preserve">in a physician. </w:t>
      </w:r>
      <w:r w:rsidR="008E524E">
        <w:t xml:space="preserve"> </w:t>
      </w:r>
      <w:r w:rsidRPr="00022AA6">
        <w:t xml:space="preserve">As mentioned in the previous section, physicians are encouraged to be rational in their search for the causes and eﬀects of disease, and to regard medicine as a science. </w:t>
      </w:r>
      <w:r w:rsidR="008E524E">
        <w:t xml:space="preserve"> </w:t>
      </w:r>
      <w:r w:rsidRPr="00022AA6">
        <w:t xml:space="preserve">They are to look for ways of re-establishing equilibrium in the patient, and to use established means in their medical practice. </w:t>
      </w:r>
      <w:r w:rsidR="008E524E">
        <w:t xml:space="preserve"> </w:t>
      </w:r>
      <w:r w:rsidRPr="00022AA6">
        <w:t>Bahá’u’lláh also counsels the tablet’s recipient to approach treatment methodically; in the following example, He advises using foods to heal before resorting to medicines:</w:t>
      </w:r>
    </w:p>
    <w:p w:rsidR="00022AA6" w:rsidRPr="00022AA6" w:rsidRDefault="00022AA6" w:rsidP="008E524E">
      <w:pPr>
        <w:pStyle w:val="Quote"/>
      </w:pPr>
      <w:proofErr w:type="gramStart"/>
      <w:r w:rsidRPr="00022AA6">
        <w:t>8</w:t>
      </w:r>
      <w:r w:rsidR="008E524E">
        <w:t xml:space="preserve"> </w:t>
      </w:r>
      <w:r w:rsidRPr="00022AA6">
        <w:t xml:space="preserve"> Treat</w:t>
      </w:r>
      <w:proofErr w:type="gramEnd"/>
      <w:r w:rsidRPr="00022AA6">
        <w:t xml:space="preserve"> an illness ﬁrstly with nutrients (or foods, aliments, </w:t>
      </w:r>
      <w:proofErr w:type="spellStart"/>
      <w:r w:rsidRPr="0012344C">
        <w:rPr>
          <w:i/>
          <w:iCs w:val="0"/>
        </w:rPr>
        <w:t>a</w:t>
      </w:r>
      <w:r w:rsidRPr="0012344C">
        <w:rPr>
          <w:i/>
          <w:iCs w:val="0"/>
          <w:u w:val="single"/>
        </w:rPr>
        <w:t>ghdh</w:t>
      </w:r>
      <w:r w:rsidRPr="0012344C">
        <w:rPr>
          <w:i/>
          <w:iCs w:val="0"/>
        </w:rPr>
        <w:t>iya</w:t>
      </w:r>
      <w:proofErr w:type="spellEnd"/>
      <w:r w:rsidRPr="00022AA6">
        <w:t>) and proceed not [immediately] unto medications (</w:t>
      </w:r>
      <w:proofErr w:type="spellStart"/>
      <w:r w:rsidRPr="0012344C">
        <w:rPr>
          <w:i/>
          <w:iCs w:val="0"/>
        </w:rPr>
        <w:t>adwiyat</w:t>
      </w:r>
      <w:proofErr w:type="spellEnd"/>
      <w:r w:rsidRPr="00022AA6">
        <w:t>). (</w:t>
      </w:r>
      <w:proofErr w:type="spellStart"/>
      <w:r w:rsidRPr="00022AA6">
        <w:t>Fananapazir</w:t>
      </w:r>
      <w:proofErr w:type="spellEnd"/>
      <w:r w:rsidRPr="00022AA6">
        <w:t xml:space="preserve"> and </w:t>
      </w:r>
      <w:proofErr w:type="spellStart"/>
      <w:r w:rsidRPr="00022AA6">
        <w:t>Lambden</w:t>
      </w:r>
      <w:proofErr w:type="spellEnd"/>
      <w:r w:rsidRPr="00022AA6">
        <w:t xml:space="preserve"> 22)</w:t>
      </w:r>
    </w:p>
    <w:p w:rsidR="00022AA6" w:rsidRPr="00022AA6" w:rsidRDefault="00022AA6" w:rsidP="00022AA6">
      <w:pPr>
        <w:pStyle w:val="Text"/>
      </w:pPr>
      <w:r w:rsidRPr="00022AA6">
        <w:t>Another desirable attribute for physicians to manifest is a humility born from an understanding that God is ultimately responsible for healing, and therefore, both the patient</w:t>
      </w:r>
      <w:r>
        <w:t xml:space="preserve"> </w:t>
      </w:r>
      <w:r w:rsidRPr="00022AA6">
        <w:t>and</w:t>
      </w:r>
      <w:r>
        <w:t xml:space="preserve"> </w:t>
      </w:r>
      <w:r w:rsidRPr="00022AA6">
        <w:t>the physician should turn to God for assistance:</w:t>
      </w:r>
    </w:p>
    <w:p w:rsidR="00022AA6" w:rsidRPr="007E5BB9" w:rsidRDefault="00022AA6" w:rsidP="0012344C">
      <w:pPr>
        <w:pStyle w:val="Quote"/>
      </w:pPr>
      <w:proofErr w:type="gramStart"/>
      <w:r w:rsidRPr="007E5BB9">
        <w:t>29</w:t>
      </w:r>
      <w:r w:rsidR="008E1CF8">
        <w:t xml:space="preserve">  </w:t>
      </w:r>
      <w:r w:rsidRPr="007E5BB9">
        <w:t>Verily</w:t>
      </w:r>
      <w:proofErr w:type="gramEnd"/>
      <w:r w:rsidRPr="007E5BB9">
        <w:t>, thy Lord is the One who exercises command over all that He wills.</w:t>
      </w:r>
    </w:p>
    <w:p w:rsidR="00022AA6" w:rsidRPr="0012344C" w:rsidRDefault="00022AA6" w:rsidP="0012344C">
      <w:pPr>
        <w:pStyle w:val="Quotects"/>
      </w:pPr>
      <w:proofErr w:type="gramStart"/>
      <w:r w:rsidRPr="007E5BB9">
        <w:t>33</w:t>
      </w:r>
      <w:r w:rsidR="008E1CF8">
        <w:t xml:space="preserve">  </w:t>
      </w:r>
      <w:r w:rsidRPr="0012344C">
        <w:t>And</w:t>
      </w:r>
      <w:proofErr w:type="gramEnd"/>
      <w:r w:rsidRPr="0012344C">
        <w:t xml:space="preserve"> upon God is all our trust.</w:t>
      </w:r>
    </w:p>
    <w:p w:rsidR="00022AA6" w:rsidRPr="007E5BB9" w:rsidRDefault="00022AA6" w:rsidP="0012344C">
      <w:pPr>
        <w:pStyle w:val="Quotects"/>
      </w:pPr>
      <w:proofErr w:type="gramStart"/>
      <w:r w:rsidRPr="0012344C">
        <w:t>34</w:t>
      </w:r>
      <w:r w:rsidR="008E1CF8" w:rsidRPr="0012344C">
        <w:t xml:space="preserve">  </w:t>
      </w:r>
      <w:r w:rsidRPr="0012344C">
        <w:t>T</w:t>
      </w:r>
      <w:r w:rsidRPr="007E5BB9">
        <w:t>here</w:t>
      </w:r>
      <w:proofErr w:type="gramEnd"/>
      <w:r w:rsidRPr="007E5BB9">
        <w:t xml:space="preserve"> is no God but Him, the true Healer, the Omniscient, the One Whose </w:t>
      </w:r>
      <w:proofErr w:type="spellStart"/>
      <w:r w:rsidRPr="007E5BB9">
        <w:t>succor</w:t>
      </w:r>
      <w:proofErr w:type="spellEnd"/>
      <w:r w:rsidRPr="007E5BB9">
        <w:t xml:space="preserve"> is sought by all. (</w:t>
      </w:r>
      <w:proofErr w:type="spellStart"/>
      <w:r w:rsidRPr="007E5BB9">
        <w:t>Fananapazir</w:t>
      </w:r>
      <w:proofErr w:type="spellEnd"/>
      <w:r w:rsidRPr="007E5BB9">
        <w:t xml:space="preserve"> and </w:t>
      </w:r>
      <w:proofErr w:type="spellStart"/>
      <w:r w:rsidRPr="007E5BB9">
        <w:t>Lambden</w:t>
      </w:r>
      <w:proofErr w:type="spellEnd"/>
      <w:r w:rsidRPr="007E5BB9">
        <w:t xml:space="preserve"> 23)</w:t>
      </w:r>
    </w:p>
    <w:p w:rsidR="00022AA6" w:rsidRPr="00022AA6" w:rsidRDefault="00022AA6" w:rsidP="00022AA6">
      <w:pPr>
        <w:pStyle w:val="Text"/>
      </w:pPr>
      <w:r w:rsidRPr="00022AA6">
        <w:t>Wisdom is another highly prized attribute cited in</w:t>
      </w:r>
      <w:r>
        <w:t xml:space="preserve"> </w:t>
      </w:r>
      <w:r w:rsidRPr="00022AA6">
        <w:t>the</w:t>
      </w:r>
      <w:r>
        <w:t xml:space="preserve"> </w:t>
      </w:r>
      <w:r w:rsidRPr="00022AA6">
        <w:t>tablet,</w:t>
      </w:r>
      <w:r>
        <w:t xml:space="preserve"> </w:t>
      </w:r>
      <w:r w:rsidRPr="00022AA6">
        <w:t>because it allows the physician to withhold or</w:t>
      </w:r>
    </w:p>
    <w:p w:rsidR="008E1CF8" w:rsidRDefault="008E1CF8">
      <w:pPr>
        <w:widowControl/>
        <w:kinsoku/>
        <w:overflowPunct/>
        <w:textAlignment w:val="auto"/>
      </w:pPr>
      <w:r>
        <w:br w:type="page"/>
      </w:r>
    </w:p>
    <w:p w:rsidR="00022AA6" w:rsidRPr="00022AA6" w:rsidRDefault="00022AA6" w:rsidP="008E1CF8">
      <w:pPr>
        <w:pStyle w:val="Textcts"/>
      </w:pPr>
      <w:proofErr w:type="gramStart"/>
      <w:r w:rsidRPr="00022AA6">
        <w:lastRenderedPageBreak/>
        <w:t>remove</w:t>
      </w:r>
      <w:proofErr w:type="gramEnd"/>
      <w:r w:rsidRPr="00022AA6">
        <w:t xml:space="preserve"> medical treatment when it is not needed:</w:t>
      </w:r>
    </w:p>
    <w:p w:rsidR="00022AA6" w:rsidRPr="00022AA6" w:rsidRDefault="00022AA6" w:rsidP="00DD4AF5">
      <w:pPr>
        <w:pStyle w:val="Quote"/>
      </w:pPr>
      <w:proofErr w:type="gramStart"/>
      <w:r w:rsidRPr="00022AA6">
        <w:t xml:space="preserve">6 </w:t>
      </w:r>
      <w:r w:rsidR="00DD4AF5">
        <w:t xml:space="preserve"> </w:t>
      </w:r>
      <w:r w:rsidRPr="00022AA6">
        <w:t>Do</w:t>
      </w:r>
      <w:proofErr w:type="gramEnd"/>
      <w:r w:rsidRPr="00022AA6">
        <w:t xml:space="preserve"> not avoid medical treatment (</w:t>
      </w:r>
      <w:r w:rsidRPr="0012344C">
        <w:rPr>
          <w:i/>
          <w:iCs w:val="0"/>
        </w:rPr>
        <w:t>al-‘</w:t>
      </w:r>
      <w:proofErr w:type="spellStart"/>
      <w:r w:rsidRPr="0012344C">
        <w:rPr>
          <w:i/>
          <w:iCs w:val="0"/>
        </w:rPr>
        <w:t>il</w:t>
      </w:r>
      <w:r w:rsidR="00DD4AF5" w:rsidRPr="0012344C">
        <w:rPr>
          <w:i/>
          <w:iCs w:val="0"/>
        </w:rPr>
        <w:t>á</w:t>
      </w:r>
      <w:r w:rsidRPr="0012344C">
        <w:rPr>
          <w:i/>
          <w:iCs w:val="0"/>
        </w:rPr>
        <w:t>j</w:t>
      </w:r>
      <w:proofErr w:type="spellEnd"/>
      <w:r w:rsidRPr="00022AA6">
        <w:t>) when thou hast need of it but abandon it when thy constitution hath been restored (</w:t>
      </w:r>
      <w:proofErr w:type="spellStart"/>
      <w:r w:rsidRPr="0012344C">
        <w:rPr>
          <w:i/>
          <w:iCs w:val="0"/>
        </w:rPr>
        <w:t>istiq</w:t>
      </w:r>
      <w:r w:rsidR="00DD4AF5" w:rsidRPr="0012344C">
        <w:rPr>
          <w:i/>
          <w:iCs w:val="0"/>
        </w:rPr>
        <w:t>á</w:t>
      </w:r>
      <w:r w:rsidRPr="0012344C">
        <w:rPr>
          <w:i/>
          <w:iCs w:val="0"/>
        </w:rPr>
        <w:t>mat</w:t>
      </w:r>
      <w:proofErr w:type="spellEnd"/>
      <w:r w:rsidRPr="00022AA6">
        <w:t>).</w:t>
      </w:r>
    </w:p>
    <w:p w:rsidR="00022AA6" w:rsidRPr="00022AA6" w:rsidRDefault="00022AA6" w:rsidP="004E33C5">
      <w:pPr>
        <w:pStyle w:val="Quotects"/>
      </w:pPr>
      <w:proofErr w:type="gramStart"/>
      <w:r w:rsidRPr="00022AA6">
        <w:t xml:space="preserve">10 </w:t>
      </w:r>
      <w:r w:rsidR="00DD4AF5">
        <w:t xml:space="preserve"> </w:t>
      </w:r>
      <w:r w:rsidRPr="00022AA6">
        <w:t>Abandon</w:t>
      </w:r>
      <w:proofErr w:type="gramEnd"/>
      <w:r w:rsidRPr="00022AA6">
        <w:t xml:space="preserve"> medication (</w:t>
      </w:r>
      <w:r w:rsidRPr="00022AA6">
        <w:rPr>
          <w:i/>
          <w:iCs/>
        </w:rPr>
        <w:t>a</w:t>
      </w:r>
      <w:r w:rsidR="004E33C5">
        <w:rPr>
          <w:i/>
          <w:iCs/>
        </w:rPr>
        <w:t>d</w:t>
      </w:r>
      <w:r w:rsidRPr="00022AA6">
        <w:rPr>
          <w:i/>
          <w:iCs/>
        </w:rPr>
        <w:t>-</w:t>
      </w:r>
      <w:proofErr w:type="spellStart"/>
      <w:r w:rsidRPr="00022AA6">
        <w:rPr>
          <w:i/>
          <w:iCs/>
        </w:rPr>
        <w:t>daw</w:t>
      </w:r>
      <w:r w:rsidR="00DD4AF5" w:rsidRPr="0012344C">
        <w:rPr>
          <w:i/>
          <w:iCs/>
        </w:rPr>
        <w:t>á</w:t>
      </w:r>
      <w:proofErr w:type="spellEnd"/>
      <w:r w:rsidRPr="00022AA6">
        <w:rPr>
          <w:i/>
          <w:iCs/>
        </w:rPr>
        <w:t>’</w:t>
      </w:r>
      <w:r w:rsidRPr="00022AA6">
        <w:t>) when thou art healthy but take hold of it when thou hast need thereof. (</w:t>
      </w:r>
      <w:proofErr w:type="spellStart"/>
      <w:r w:rsidRPr="00022AA6">
        <w:t>Fananapazir</w:t>
      </w:r>
      <w:proofErr w:type="spellEnd"/>
      <w:r w:rsidRPr="00022AA6">
        <w:t xml:space="preserve"> and </w:t>
      </w:r>
      <w:proofErr w:type="spellStart"/>
      <w:r w:rsidRPr="00022AA6">
        <w:t>Lambden</w:t>
      </w:r>
      <w:proofErr w:type="spellEnd"/>
      <w:r w:rsidRPr="00022AA6">
        <w:t xml:space="preserve"> 22)</w:t>
      </w:r>
    </w:p>
    <w:p w:rsidR="00022AA6" w:rsidRPr="00022AA6" w:rsidRDefault="00022AA6" w:rsidP="0021276A">
      <w:pPr>
        <w:pStyle w:val="Text"/>
      </w:pPr>
      <w:r w:rsidRPr="00022AA6">
        <w:t xml:space="preserve">Finally, Bahá’u’lláh emphasizes the importance of physicians being ﬁrm in their faith. </w:t>
      </w:r>
      <w:r w:rsidR="0021276A">
        <w:t xml:space="preserve"> </w:t>
      </w:r>
      <w:r w:rsidRPr="00022AA6">
        <w:t>For example, He encourages what may be prayer and reﬂection on His writings (“remembrance of thy Lord”) as part of a physician’s treatment regimen.</w:t>
      </w:r>
    </w:p>
    <w:p w:rsidR="00022AA6" w:rsidRPr="007E5BB9" w:rsidRDefault="00022AA6" w:rsidP="0021276A">
      <w:pPr>
        <w:pStyle w:val="Quote"/>
      </w:pPr>
      <w:proofErr w:type="gramStart"/>
      <w:r w:rsidRPr="007E5BB9">
        <w:t>35</w:t>
      </w:r>
      <w:r w:rsidR="0021276A">
        <w:t xml:space="preserve">  </w:t>
      </w:r>
      <w:r w:rsidRPr="007E5BB9">
        <w:t>O</w:t>
      </w:r>
      <w:proofErr w:type="gramEnd"/>
      <w:r w:rsidRPr="007E5BB9">
        <w:t xml:space="preserve"> Physician!</w:t>
      </w:r>
    </w:p>
    <w:p w:rsidR="00022AA6" w:rsidRPr="007E5BB9" w:rsidRDefault="00022AA6" w:rsidP="001F4F20">
      <w:pPr>
        <w:pStyle w:val="Quotects"/>
      </w:pPr>
      <w:proofErr w:type="gramStart"/>
      <w:r w:rsidRPr="007E5BB9">
        <w:t>36</w:t>
      </w:r>
      <w:r w:rsidR="0021276A">
        <w:t xml:space="preserve">  </w:t>
      </w:r>
      <w:r w:rsidRPr="007E5BB9">
        <w:t>Firstly</w:t>
      </w:r>
      <w:proofErr w:type="gramEnd"/>
      <w:r w:rsidRPr="007E5BB9">
        <w:t>, heal thou the sick ones with the Remembrance of thy Lord (</w:t>
      </w:r>
      <w:r w:rsidRPr="0021276A">
        <w:rPr>
          <w:i/>
          <w:iCs/>
        </w:rPr>
        <w:t>bi-</w:t>
      </w:r>
      <w:r w:rsidRPr="001F4F20">
        <w:rPr>
          <w:i/>
          <w:iCs/>
          <w:u w:val="single"/>
        </w:rPr>
        <w:t>dh</w:t>
      </w:r>
      <w:r w:rsidRPr="0021276A">
        <w:rPr>
          <w:i/>
          <w:iCs/>
        </w:rPr>
        <w:t xml:space="preserve">ikr </w:t>
      </w:r>
      <w:proofErr w:type="spellStart"/>
      <w:r w:rsidRPr="0021276A">
        <w:rPr>
          <w:i/>
          <w:iCs/>
        </w:rPr>
        <w:t>rabbika</w:t>
      </w:r>
      <w:proofErr w:type="spellEnd"/>
      <w:r w:rsidRPr="007E5BB9">
        <w:t>), the Lord of the Day of Mutual Invocation (</w:t>
      </w:r>
      <w:proofErr w:type="spellStart"/>
      <w:r w:rsidRPr="0021276A">
        <w:rPr>
          <w:i/>
          <w:iCs/>
        </w:rPr>
        <w:t>yawm</w:t>
      </w:r>
      <w:proofErr w:type="spellEnd"/>
      <w:r w:rsidRPr="0021276A">
        <w:rPr>
          <w:i/>
          <w:iCs/>
        </w:rPr>
        <w:t xml:space="preserve"> a</w:t>
      </w:r>
      <w:r w:rsidR="001F4F20">
        <w:rPr>
          <w:i/>
          <w:iCs/>
        </w:rPr>
        <w:t>t</w:t>
      </w:r>
      <w:r w:rsidRPr="0021276A">
        <w:rPr>
          <w:i/>
          <w:iCs/>
        </w:rPr>
        <w:t>-</w:t>
      </w:r>
      <w:proofErr w:type="spellStart"/>
      <w:r w:rsidRPr="0021276A">
        <w:rPr>
          <w:i/>
          <w:iCs/>
        </w:rPr>
        <w:t>tan</w:t>
      </w:r>
      <w:r w:rsidR="001F4F20" w:rsidRPr="0012344C">
        <w:rPr>
          <w:i/>
          <w:iCs/>
        </w:rPr>
        <w:t>á</w:t>
      </w:r>
      <w:r w:rsidRPr="0021276A">
        <w:rPr>
          <w:i/>
          <w:iCs/>
        </w:rPr>
        <w:t>d</w:t>
      </w:r>
      <w:r w:rsidR="001F4F20">
        <w:rPr>
          <w:i/>
          <w:iCs/>
        </w:rPr>
        <w:t>d</w:t>
      </w:r>
      <w:proofErr w:type="spellEnd"/>
      <w:r w:rsidRPr="007E5BB9">
        <w:t>)</w:t>
      </w:r>
      <w:r w:rsidR="001F4F20">
        <w:rPr>
          <w:rStyle w:val="FootnoteReference"/>
        </w:rPr>
        <w:footnoteReference w:customMarkFollows="1" w:id="12"/>
        <w:t>*</w:t>
      </w:r>
      <w:r w:rsidRPr="007E5BB9">
        <w:t xml:space="preserve"> and afterwards by that which We have ordained for the health of the constitutions of the servants.</w:t>
      </w:r>
    </w:p>
    <w:p w:rsidR="00022AA6" w:rsidRPr="007E5BB9" w:rsidRDefault="00022AA6" w:rsidP="0021276A">
      <w:pPr>
        <w:pStyle w:val="Quotects"/>
      </w:pPr>
      <w:proofErr w:type="gramStart"/>
      <w:r w:rsidRPr="007E5BB9">
        <w:t>37</w:t>
      </w:r>
      <w:r w:rsidR="0021276A">
        <w:t xml:space="preserve">  </w:t>
      </w:r>
      <w:r w:rsidRPr="007E5BB9">
        <w:t>By</w:t>
      </w:r>
      <w:proofErr w:type="gramEnd"/>
      <w:r w:rsidRPr="007E5BB9">
        <w:t xml:space="preserve"> My life!</w:t>
      </w:r>
    </w:p>
    <w:p w:rsidR="00022AA6" w:rsidRPr="00022AA6" w:rsidRDefault="00022AA6" w:rsidP="0021276A">
      <w:pPr>
        <w:pStyle w:val="Quotects"/>
      </w:pPr>
      <w:proofErr w:type="gramStart"/>
      <w:r w:rsidRPr="007E5BB9">
        <w:t>38</w:t>
      </w:r>
      <w:r w:rsidR="0021276A">
        <w:t xml:space="preserve">  </w:t>
      </w:r>
      <w:r w:rsidRPr="00022AA6">
        <w:t>Merely</w:t>
      </w:r>
      <w:proofErr w:type="gramEnd"/>
      <w:r w:rsidRPr="00022AA6">
        <w:t xml:space="preserve"> attaining the presence of the physician who has drunk of the Wine of My Love confers healing and his mere breath brings mercy and hope.</w:t>
      </w:r>
    </w:p>
    <w:p w:rsidR="00022AA6" w:rsidRPr="007E5BB9" w:rsidRDefault="00022AA6" w:rsidP="0021276A">
      <w:pPr>
        <w:pStyle w:val="Quotects"/>
      </w:pPr>
      <w:proofErr w:type="gramStart"/>
      <w:r w:rsidRPr="007E5BB9">
        <w:t>39</w:t>
      </w:r>
      <w:r w:rsidR="0021276A">
        <w:t xml:space="preserve">  </w:t>
      </w:r>
      <w:r w:rsidRPr="007E5BB9">
        <w:t>Say</w:t>
      </w:r>
      <w:proofErr w:type="gramEnd"/>
      <w:r w:rsidR="002A4258">
        <w:t xml:space="preserve">:  </w:t>
      </w:r>
      <w:r w:rsidRPr="007E5BB9">
        <w:t>Adhere to him for the restoration of the body’s well-being.</w:t>
      </w:r>
    </w:p>
    <w:p w:rsidR="00022AA6" w:rsidRPr="007E5BB9" w:rsidRDefault="00022AA6" w:rsidP="0021276A">
      <w:pPr>
        <w:pStyle w:val="Quotects"/>
      </w:pPr>
      <w:proofErr w:type="gramStart"/>
      <w:r w:rsidRPr="007E5BB9">
        <w:t>40</w:t>
      </w:r>
      <w:r w:rsidR="0021276A">
        <w:t xml:space="preserve">  </w:t>
      </w:r>
      <w:r w:rsidRPr="007E5BB9">
        <w:t>For</w:t>
      </w:r>
      <w:proofErr w:type="gramEnd"/>
      <w:r w:rsidRPr="007E5BB9">
        <w:t>, verily, such a physician is assisted by God for the treatment of ills.</w:t>
      </w:r>
    </w:p>
    <w:p w:rsidR="00022AA6" w:rsidRPr="00022AA6" w:rsidRDefault="00022AA6" w:rsidP="001F4F20">
      <w:pPr>
        <w:pStyle w:val="Text"/>
      </w:pPr>
      <w:r w:rsidRPr="007E5BB9">
        <w:t>In t</w:t>
      </w:r>
      <w:r w:rsidRPr="00022AA6">
        <w:t>his same vein, the tablet contains a short healing prayer, which has been authoritatively translated by Shoghi Eﬀendi:</w:t>
      </w:r>
    </w:p>
    <w:p w:rsidR="00022AA6" w:rsidRPr="00022AA6" w:rsidRDefault="00022AA6" w:rsidP="001F4F20">
      <w:pPr>
        <w:pStyle w:val="Quote"/>
      </w:pPr>
      <w:r w:rsidRPr="00022AA6">
        <w:t>Thy name is my healing, O my</w:t>
      </w:r>
      <w:r>
        <w:t xml:space="preserve"> </w:t>
      </w:r>
      <w:r w:rsidRPr="00022AA6">
        <w:t>God, and remembrance of Thee is my remedy. Nearness to Thee is my hope, and love for Thee is my companion.</w:t>
      </w:r>
      <w:r w:rsidR="00544827">
        <w:t xml:space="preserve"> </w:t>
      </w:r>
      <w:r w:rsidRPr="00022AA6">
        <w:t xml:space="preserve"> Thy mercy to me is my healing and my </w:t>
      </w:r>
      <w:proofErr w:type="spellStart"/>
      <w:r w:rsidRPr="00022AA6">
        <w:t>succor</w:t>
      </w:r>
      <w:proofErr w:type="spellEnd"/>
      <w:r w:rsidRPr="00022AA6">
        <w:t xml:space="preserve"> in both this world and the world to come. </w:t>
      </w:r>
      <w:r w:rsidR="00544827">
        <w:t xml:space="preserve"> </w:t>
      </w:r>
      <w:r w:rsidRPr="00022AA6">
        <w:t xml:space="preserve">Thou, verily, art the All-Bountiful, the All-Knowing, </w:t>
      </w:r>
      <w:proofErr w:type="gramStart"/>
      <w:r w:rsidRPr="00022AA6">
        <w:t>the</w:t>
      </w:r>
      <w:proofErr w:type="gramEnd"/>
      <w:r w:rsidRPr="00022AA6">
        <w:t xml:space="preserve"> All-Wise. (Bahá’u’lláh, </w:t>
      </w:r>
      <w:r w:rsidRPr="0012344C">
        <w:rPr>
          <w:i/>
          <w:iCs w:val="0"/>
        </w:rPr>
        <w:t>Prayers and Meditations</w:t>
      </w:r>
      <w:r w:rsidRPr="00022AA6">
        <w:t>, chapter 170</w:t>
      </w:r>
      <w:r w:rsidR="00117554">
        <w:t>, pp. 262–3</w:t>
      </w:r>
      <w:r w:rsidRPr="00022AA6">
        <w:t>)</w:t>
      </w:r>
    </w:p>
    <w:p w:rsidR="00022AA6" w:rsidRPr="007E5BB9" w:rsidRDefault="00022AA6" w:rsidP="00117554">
      <w:pPr>
        <w:pStyle w:val="Myheadc"/>
      </w:pPr>
      <w:r w:rsidRPr="007E5BB9">
        <w:t>I</w:t>
      </w:r>
      <w:r w:rsidR="00117554" w:rsidRPr="007E5BB9">
        <w:t>n the absence of physicians</w:t>
      </w:r>
    </w:p>
    <w:p w:rsidR="00022AA6" w:rsidRPr="00022AA6" w:rsidRDefault="00022AA6" w:rsidP="00117554">
      <w:pPr>
        <w:pStyle w:val="Text"/>
      </w:pPr>
      <w:r w:rsidRPr="00022AA6">
        <w:t>In the third line of the tablet, Bahá’u’lláh makes a profound statement that provides much insight into the tablet itself:</w:t>
      </w:r>
    </w:p>
    <w:p w:rsidR="00022AA6" w:rsidRPr="00022AA6" w:rsidRDefault="00022AA6" w:rsidP="00BA46ED">
      <w:pPr>
        <w:pStyle w:val="Quote"/>
      </w:pPr>
      <w:proofErr w:type="gramStart"/>
      <w:r w:rsidRPr="00022AA6">
        <w:t>3</w:t>
      </w:r>
      <w:r w:rsidR="00BA46ED">
        <w:t xml:space="preserve"> </w:t>
      </w:r>
      <w:r>
        <w:t xml:space="preserve"> </w:t>
      </w:r>
      <w:r w:rsidRPr="00022AA6">
        <w:t>The</w:t>
      </w:r>
      <w:proofErr w:type="gramEnd"/>
      <w:r>
        <w:t xml:space="preserve"> </w:t>
      </w:r>
      <w:r w:rsidRPr="00022AA6">
        <w:t>Tongue</w:t>
      </w:r>
      <w:r>
        <w:t xml:space="preserve"> </w:t>
      </w:r>
      <w:r w:rsidRPr="00022AA6">
        <w:t>of</w:t>
      </w:r>
      <w:r>
        <w:t xml:space="preserve"> </w:t>
      </w:r>
      <w:r w:rsidRPr="00022AA6">
        <w:t>the Ancient of Days utters that which shall be a suﬃcient treasure for the wise ones in the absence of physicians. (</w:t>
      </w:r>
      <w:proofErr w:type="spellStart"/>
      <w:r w:rsidRPr="00022AA6">
        <w:t>Fananapazir</w:t>
      </w:r>
      <w:proofErr w:type="spellEnd"/>
      <w:r w:rsidRPr="00022AA6">
        <w:t xml:space="preserve"> and </w:t>
      </w:r>
      <w:proofErr w:type="spellStart"/>
      <w:r w:rsidRPr="00022AA6">
        <w:t>Lambden</w:t>
      </w:r>
      <w:proofErr w:type="spellEnd"/>
      <w:r w:rsidRPr="00022AA6">
        <w:t xml:space="preserve"> 22)</w:t>
      </w:r>
    </w:p>
    <w:p w:rsidR="00022AA6" w:rsidRDefault="00022AA6" w:rsidP="00BA46ED">
      <w:pPr>
        <w:pStyle w:val="Text"/>
      </w:pPr>
      <w:r w:rsidRPr="00022AA6">
        <w:t xml:space="preserve">By describing His revealed writings as a “suﬃcient treasure” when no physician is available, Bahá’u’lláh seems to be implying that physicians are to be </w:t>
      </w:r>
      <w:r w:rsidRPr="00BA46ED">
        <w:t>consulted for matters</w:t>
      </w:r>
      <w:r w:rsidRPr="00022AA6">
        <w:t xml:space="preserve"> of health.</w:t>
      </w:r>
      <w:r w:rsidR="00BA46ED">
        <w:rPr>
          <w:rStyle w:val="FootnoteReference"/>
        </w:rPr>
        <w:footnoteReference w:id="13"/>
      </w:r>
    </w:p>
    <w:p w:rsidR="009A1E80" w:rsidRDefault="009A1E80">
      <w:pPr>
        <w:widowControl/>
        <w:kinsoku/>
        <w:overflowPunct/>
        <w:textAlignment w:val="auto"/>
      </w:pPr>
      <w:r>
        <w:br w:type="page"/>
      </w:r>
    </w:p>
    <w:p w:rsidR="00022AA6" w:rsidRPr="00022AA6" w:rsidRDefault="00022AA6" w:rsidP="009A1E80">
      <w:pPr>
        <w:pStyle w:val="Text"/>
      </w:pPr>
      <w:r w:rsidRPr="00022AA6">
        <w:lastRenderedPageBreak/>
        <w:t xml:space="preserve">It is worth noting that if a physician </w:t>
      </w:r>
      <w:r w:rsidRPr="00022AA6">
        <w:rPr>
          <w:i/>
          <w:iCs/>
        </w:rPr>
        <w:t xml:space="preserve">is </w:t>
      </w:r>
      <w:r w:rsidRPr="00022AA6">
        <w:t xml:space="preserve">available, he or she may conceivably treat a patient in a way that is at variance with Bahá’u’lláh’s injunctions in this tablet and, presumably, elsewhere. </w:t>
      </w:r>
      <w:r w:rsidR="009A1E80">
        <w:t xml:space="preserve"> </w:t>
      </w:r>
      <w:r w:rsidRPr="00022AA6">
        <w:t xml:space="preserve">In Bahá’u’lláh’s other writings, He permits exemptions to certain Bahá’í laws if advised by a physician. </w:t>
      </w:r>
      <w:r w:rsidR="009A1E80">
        <w:t xml:space="preserve"> </w:t>
      </w:r>
      <w:r w:rsidRPr="00022AA6">
        <w:t>For instance, Bahá’u’lláh forbids the taking of alcohol or “opium and similar habit-forming drugs”</w:t>
      </w:r>
      <w:r w:rsidR="009A1E80">
        <w:t>,</w:t>
      </w:r>
      <w:r w:rsidRPr="00022AA6">
        <w:t xml:space="preserve"> unless speciﬁcally prescribed by a physician (</w:t>
      </w:r>
      <w:r w:rsidRPr="009A1E80">
        <w:rPr>
          <w:i/>
          <w:iCs/>
        </w:rPr>
        <w:t>Kitáb-i-Aqdas</w:t>
      </w:r>
      <w:r w:rsidRPr="00022AA6">
        <w:t xml:space="preserve"> notes 144 and 170; </w:t>
      </w:r>
      <w:r w:rsidRPr="00022AA6">
        <w:rPr>
          <w:i/>
          <w:iCs/>
        </w:rPr>
        <w:t xml:space="preserve">Compilation </w:t>
      </w:r>
      <w:r w:rsidRPr="00022AA6">
        <w:t xml:space="preserve">vol. 2, 247). </w:t>
      </w:r>
      <w:r w:rsidR="009A1E80">
        <w:t xml:space="preserve"> </w:t>
      </w:r>
      <w:r w:rsidRPr="00022AA6">
        <w:t>Another example can be found in a statement by ‘Abdu’l-Bahá:</w:t>
      </w:r>
    </w:p>
    <w:p w:rsidR="00022AA6" w:rsidRPr="00022AA6" w:rsidRDefault="009A1E80" w:rsidP="009A1E80">
      <w:pPr>
        <w:pStyle w:val="Quote"/>
      </w:pPr>
      <w:r>
        <w:t xml:space="preserve">… </w:t>
      </w:r>
      <w:proofErr w:type="gramStart"/>
      <w:r w:rsidR="00022AA6" w:rsidRPr="00022AA6">
        <w:t>should</w:t>
      </w:r>
      <w:proofErr w:type="gramEnd"/>
      <w:r w:rsidR="00022AA6" w:rsidRPr="00022AA6">
        <w:t xml:space="preserve"> a physician console a patient and say, “Thank God, you are doing better and there is hope for your recovery”</w:t>
      </w:r>
      <w:r>
        <w:t>,</w:t>
      </w:r>
      <w:r w:rsidR="00022AA6" w:rsidRPr="00022AA6">
        <w:t xml:space="preserve"> although these words may be contrary to the truth, yet sometimes they will ease the patient’s mind and become the means of curing the illness. </w:t>
      </w:r>
      <w:r>
        <w:t xml:space="preserve"> </w:t>
      </w:r>
      <w:r w:rsidR="00022AA6" w:rsidRPr="00022AA6">
        <w:t>And this is not blameworthy. (</w:t>
      </w:r>
      <w:r w:rsidR="00022AA6" w:rsidRPr="0012344C">
        <w:rPr>
          <w:i/>
          <w:iCs w:val="0"/>
        </w:rPr>
        <w:t xml:space="preserve">Some Answered Questions </w:t>
      </w:r>
      <w:r w:rsidR="00022AA6" w:rsidRPr="00022AA6">
        <w:t>2</w:t>
      </w:r>
      <w:r>
        <w:t>49</w:t>
      </w:r>
      <w:r w:rsidR="00022AA6" w:rsidRPr="00022AA6">
        <w:t>)</w:t>
      </w:r>
    </w:p>
    <w:p w:rsidR="00022AA6" w:rsidRPr="00022AA6" w:rsidRDefault="00022AA6" w:rsidP="009A1E80">
      <w:pPr>
        <w:pStyle w:val="Text"/>
      </w:pPr>
      <w:r w:rsidRPr="00022AA6">
        <w:t>Here again, even though Bahá’u’lláh exhorts His followers to be truthful</w:t>
      </w:r>
      <w:proofErr w:type="gramStart"/>
      <w:r w:rsidRPr="00022AA6">
        <w:t>,</w:t>
      </w:r>
      <w:proofErr w:type="gramEnd"/>
      <w:r w:rsidR="009A1E80">
        <w:rPr>
          <w:rStyle w:val="FootnoteReference"/>
        </w:rPr>
        <w:footnoteReference w:id="14"/>
      </w:r>
      <w:r w:rsidRPr="007E5BB9">
        <w:rPr>
          <w:rStyle w:val="EndnoteReference"/>
        </w:rPr>
        <w:t xml:space="preserve"> </w:t>
      </w:r>
      <w:r w:rsidRPr="00022AA6">
        <w:t>the physician is exempt from being absolutely truthful in such an instance as cited above.</w:t>
      </w:r>
    </w:p>
    <w:p w:rsidR="00022AA6" w:rsidRPr="00022AA6" w:rsidRDefault="00022AA6" w:rsidP="004E33C5">
      <w:pPr>
        <w:pStyle w:val="Text"/>
      </w:pPr>
      <w:r w:rsidRPr="00022AA6">
        <w:t>Another implication of this verse concerning the absence of a physician could relate to humoral medicine.</w:t>
      </w:r>
      <w:r w:rsidR="004E33C5">
        <w:t xml:space="preserve"> </w:t>
      </w:r>
      <w:r w:rsidRPr="00022AA6">
        <w:t xml:space="preserve"> The tablet’s recipient was a physician who presumably used humoral theory in his medical practice. </w:t>
      </w:r>
      <w:r w:rsidR="004E33C5">
        <w:t xml:space="preserve"> </w:t>
      </w:r>
      <w:r w:rsidRPr="00022AA6">
        <w:t>Bahá’u’lláh may be implying that in the absence of doctors</w:t>
      </w:r>
      <w:r w:rsidR="004E33C5">
        <w:t xml:space="preserve"> </w:t>
      </w:r>
      <w:r w:rsidRPr="00022AA6">
        <w:t xml:space="preserve">such as the recipient, the injunctions in this tablet would be suﬃcient to produce a balance of the </w:t>
      </w:r>
      <w:proofErr w:type="spellStart"/>
      <w:r w:rsidRPr="00022AA6">
        <w:t>humors</w:t>
      </w:r>
      <w:proofErr w:type="spellEnd"/>
      <w:r w:rsidRPr="00022AA6">
        <w:t>.</w:t>
      </w:r>
      <w:r w:rsidR="004E33C5">
        <w:t xml:space="preserve"> </w:t>
      </w:r>
      <w:r w:rsidRPr="00022AA6">
        <w:t xml:space="preserve"> Consequently, one may not need the services of a doctor trained according to humoral theory if one follows the tablet’s advice in this regard. </w:t>
      </w:r>
      <w:r w:rsidR="004E33C5">
        <w:t xml:space="preserve"> </w:t>
      </w:r>
      <w:r w:rsidRPr="00022AA6">
        <w:t xml:space="preserve">This interpretation is further corroborated by lines 30 to 32 (described above), which seem to indicate that the key to balancing the </w:t>
      </w:r>
      <w:proofErr w:type="spellStart"/>
      <w:r w:rsidRPr="00022AA6">
        <w:t>humors</w:t>
      </w:r>
      <w:proofErr w:type="spellEnd"/>
      <w:r w:rsidRPr="00022AA6">
        <w:t xml:space="preserve"> lies in the tablet’s counsels—though there could be a bit of irony in line 3, as Bahá’u’lláh is explaining to a physician how a patient can stay healthy without a physician.</w:t>
      </w:r>
      <w:r w:rsidR="004E33C5">
        <w:t xml:space="preserve"> </w:t>
      </w:r>
      <w:r w:rsidRPr="00022AA6">
        <w:t xml:space="preserve"> This line is also reminiscent of a book by Ab</w:t>
      </w:r>
      <w:r w:rsidR="004E33C5" w:rsidRPr="004E33C5">
        <w:t>ú</w:t>
      </w:r>
      <w:r w:rsidRPr="00022AA6">
        <w:t xml:space="preserve"> Bakr </w:t>
      </w:r>
      <w:r w:rsidR="00957AD0" w:rsidRPr="00022AA6">
        <w:t>Mu</w:t>
      </w:r>
      <w:r w:rsidR="004E33C5" w:rsidRPr="004E33C5">
        <w:t>ḥ</w:t>
      </w:r>
      <w:r w:rsidR="00957AD0" w:rsidRPr="00022AA6">
        <w:t>ammad</w:t>
      </w:r>
      <w:r w:rsidRPr="00022AA6">
        <w:t xml:space="preserve"> ibn </w:t>
      </w:r>
      <w:proofErr w:type="spellStart"/>
      <w:r w:rsidRPr="00022AA6">
        <w:t>Zakariyy</w:t>
      </w:r>
      <w:r w:rsidR="004E33C5" w:rsidRPr="004E33C5">
        <w:t>á</w:t>
      </w:r>
      <w:proofErr w:type="spellEnd"/>
      <w:r w:rsidRPr="00022AA6">
        <w:t xml:space="preserve"> </w:t>
      </w:r>
      <w:proofErr w:type="spellStart"/>
      <w:r w:rsidRPr="00022AA6">
        <w:t>a</w:t>
      </w:r>
      <w:r w:rsidR="004E33C5">
        <w:t>r</w:t>
      </w:r>
      <w:r w:rsidRPr="00022AA6">
        <w:t>-R</w:t>
      </w:r>
      <w:r w:rsidR="004E33C5" w:rsidRPr="004E33C5">
        <w:t>á</w:t>
      </w:r>
      <w:r w:rsidRPr="00022AA6">
        <w:t>z</w:t>
      </w:r>
      <w:r w:rsidR="004E33C5" w:rsidRPr="004E33C5">
        <w:t>í</w:t>
      </w:r>
      <w:proofErr w:type="spellEnd"/>
      <w:r w:rsidRPr="00022AA6">
        <w:t xml:space="preserve"> (also known as </w:t>
      </w:r>
      <w:proofErr w:type="spellStart"/>
      <w:r w:rsidRPr="00022AA6">
        <w:t>Rhazes</w:t>
      </w:r>
      <w:proofErr w:type="spellEnd"/>
      <w:r w:rsidRPr="00022AA6">
        <w:t xml:space="preserve">) that is entitled </w:t>
      </w:r>
      <w:r w:rsidRPr="00022AA6">
        <w:rPr>
          <w:i/>
          <w:iCs/>
        </w:rPr>
        <w:t xml:space="preserve">Man </w:t>
      </w:r>
      <w:proofErr w:type="spellStart"/>
      <w:r w:rsidR="004E33C5">
        <w:rPr>
          <w:i/>
          <w:iCs/>
        </w:rPr>
        <w:t>l</w:t>
      </w:r>
      <w:r w:rsidR="004E33C5" w:rsidRPr="0012344C">
        <w:rPr>
          <w:i/>
          <w:iCs/>
        </w:rPr>
        <w:t>á</w:t>
      </w:r>
      <w:proofErr w:type="spellEnd"/>
      <w:r w:rsidRPr="00022AA6">
        <w:rPr>
          <w:i/>
          <w:iCs/>
        </w:rPr>
        <w:t xml:space="preserve"> </w:t>
      </w:r>
      <w:proofErr w:type="spellStart"/>
      <w:r w:rsidRPr="00022AA6">
        <w:rPr>
          <w:i/>
          <w:iCs/>
        </w:rPr>
        <w:t>Ya</w:t>
      </w:r>
      <w:r w:rsidR="004E33C5" w:rsidRPr="0012344C">
        <w:rPr>
          <w:i/>
          <w:iCs/>
        </w:rPr>
        <w:t>ḥḍ</w:t>
      </w:r>
      <w:r w:rsidRPr="00022AA6">
        <w:rPr>
          <w:i/>
          <w:iCs/>
        </w:rPr>
        <w:t>uruhu</w:t>
      </w:r>
      <w:proofErr w:type="spellEnd"/>
      <w:r w:rsidRPr="00022AA6">
        <w:rPr>
          <w:i/>
          <w:iCs/>
        </w:rPr>
        <w:t xml:space="preserve"> </w:t>
      </w:r>
      <w:proofErr w:type="spellStart"/>
      <w:r w:rsidRPr="00022AA6">
        <w:rPr>
          <w:i/>
          <w:iCs/>
        </w:rPr>
        <w:t>a</w:t>
      </w:r>
      <w:r w:rsidR="004E33C5" w:rsidRPr="0012344C">
        <w:rPr>
          <w:i/>
          <w:iCs/>
        </w:rPr>
        <w:t>ṭ</w:t>
      </w:r>
      <w:r w:rsidRPr="00022AA6">
        <w:rPr>
          <w:i/>
          <w:iCs/>
        </w:rPr>
        <w:t>-</w:t>
      </w:r>
      <w:r w:rsidR="004E33C5" w:rsidRPr="0012344C">
        <w:rPr>
          <w:i/>
          <w:iCs/>
        </w:rPr>
        <w:t>Ṭ</w:t>
      </w:r>
      <w:r w:rsidRPr="00022AA6">
        <w:rPr>
          <w:i/>
          <w:iCs/>
        </w:rPr>
        <w:t>ab</w:t>
      </w:r>
      <w:r w:rsidR="004E33C5" w:rsidRPr="0012344C">
        <w:rPr>
          <w:i/>
          <w:iCs/>
        </w:rPr>
        <w:t>í</w:t>
      </w:r>
      <w:r w:rsidRPr="00022AA6">
        <w:rPr>
          <w:i/>
          <w:iCs/>
        </w:rPr>
        <w:t>b</w:t>
      </w:r>
      <w:proofErr w:type="spellEnd"/>
      <w:r w:rsidRPr="00022AA6">
        <w:rPr>
          <w:i/>
          <w:iCs/>
        </w:rPr>
        <w:t xml:space="preserve"> </w:t>
      </w:r>
      <w:r w:rsidRPr="00022AA6">
        <w:t>(Meri 672), translated as “For one without doctor” (</w:t>
      </w:r>
      <w:proofErr w:type="spellStart"/>
      <w:r w:rsidRPr="00022AA6">
        <w:t>Mollazadeh</w:t>
      </w:r>
      <w:proofErr w:type="spellEnd"/>
      <w:r w:rsidRPr="00022AA6">
        <w:t xml:space="preserve"> 1154) or “He who has no physician to attend him” (Osborn).</w:t>
      </w:r>
    </w:p>
    <w:p w:rsidR="00022AA6" w:rsidRPr="00022AA6" w:rsidRDefault="00022AA6" w:rsidP="00D24FDF">
      <w:pPr>
        <w:pStyle w:val="Text"/>
      </w:pPr>
      <w:r w:rsidRPr="00022AA6">
        <w:t>Finally, Bahá’u’lláh does not specify to what or to whom He is referring when He uses the word “physician”</w:t>
      </w:r>
      <w:r w:rsidR="00D24FDF">
        <w:t xml:space="preserve">. </w:t>
      </w:r>
      <w:r w:rsidRPr="00022AA6">
        <w:t xml:space="preserve"> The Universal House of Justice has stated that “no speciﬁc school of nutrition or medicine has been associated with the Bahá’í teachings” (</w:t>
      </w:r>
      <w:r w:rsidRPr="00022AA6">
        <w:rPr>
          <w:i/>
          <w:iCs/>
        </w:rPr>
        <w:t xml:space="preserve">Compilation </w:t>
      </w:r>
      <w:r w:rsidRPr="00022AA6">
        <w:t xml:space="preserve">vol. 1, 488). </w:t>
      </w:r>
      <w:r w:rsidR="00D24FDF">
        <w:t xml:space="preserve"> </w:t>
      </w:r>
      <w:r w:rsidRPr="00022AA6">
        <w:t>As we have noted, in nineteenth-century Persia, there were a variety of medical practitioners (</w:t>
      </w:r>
      <w:proofErr w:type="spellStart"/>
      <w:r w:rsidRPr="00022AA6">
        <w:t>Ebrahimnejad</w:t>
      </w:r>
      <w:proofErr w:type="spellEnd"/>
      <w:r w:rsidRPr="00022AA6">
        <w:t>, “Theory” 173).</w:t>
      </w:r>
      <w:r w:rsidR="00D24FDF">
        <w:t xml:space="preserve"> </w:t>
      </w:r>
      <w:r w:rsidRPr="00022AA6">
        <w:t xml:space="preserve"> Such diversity persists in the present day, as there are a variety of medical and surgical specialties, often with overlapping areas of practice. </w:t>
      </w:r>
      <w:r w:rsidR="00D24FDF">
        <w:t xml:space="preserve"> </w:t>
      </w:r>
      <w:r w:rsidRPr="00022AA6">
        <w:t>In addition, disciplines such as nursing, nutrition, physiotherapy, speech language pathology, and others are also involved in the treatment of and care for patients.</w:t>
      </w:r>
    </w:p>
    <w:p w:rsidR="002E6D01" w:rsidRPr="00C5744C" w:rsidRDefault="002E6D01" w:rsidP="00C5744C">
      <w:r w:rsidRPr="00C5744C">
        <w:br w:type="page"/>
      </w:r>
    </w:p>
    <w:p w:rsidR="002E6D01" w:rsidRDefault="00D24FDF" w:rsidP="002E6D01">
      <w:pPr>
        <w:pStyle w:val="Myheadc"/>
      </w:pPr>
      <w:r w:rsidRPr="007E5BB9">
        <w:lastRenderedPageBreak/>
        <w:t>Health maxims</w:t>
      </w:r>
    </w:p>
    <w:p w:rsidR="00022AA6" w:rsidRPr="007E5BB9" w:rsidRDefault="002E6D01" w:rsidP="002E6D01">
      <w:pPr>
        <w:pStyle w:val="Myhead"/>
      </w:pPr>
      <w:r>
        <w:t>D</w:t>
      </w:r>
      <w:r w:rsidR="00D24FDF" w:rsidRPr="007E5BB9">
        <w:t>iet and nutrition</w:t>
      </w:r>
    </w:p>
    <w:p w:rsidR="00022AA6" w:rsidRPr="00022AA6" w:rsidRDefault="00022AA6" w:rsidP="002E6D01">
      <w:pPr>
        <w:pStyle w:val="Text"/>
      </w:pPr>
      <w:r w:rsidRPr="00022AA6">
        <w:t xml:space="preserve">A considerable part of the tablet concerns diet and nutrition. </w:t>
      </w:r>
      <w:r w:rsidR="002E6D01">
        <w:t xml:space="preserve"> </w:t>
      </w:r>
      <w:r w:rsidRPr="00022AA6">
        <w:t xml:space="preserve">Bahá’u’lláh counsels the reader regarding healthy eating as well as treatment of illness through diet. </w:t>
      </w:r>
      <w:r w:rsidR="002E6D01">
        <w:t xml:space="preserve"> </w:t>
      </w:r>
      <w:r w:rsidRPr="00022AA6">
        <w:t>This emphasis on nutrition is in keeping with one possible purpose of the tablet</w:t>
      </w:r>
      <w:r w:rsidR="002A4258">
        <w:t xml:space="preserve">:  </w:t>
      </w:r>
      <w:r w:rsidRPr="00022AA6">
        <w:t xml:space="preserve">to give advice on health to the general population when a physician (who can prescribe medication or another treatment) is unavailable. </w:t>
      </w:r>
      <w:r w:rsidR="002E6D01">
        <w:t xml:space="preserve"> </w:t>
      </w:r>
      <w:r w:rsidRPr="00022AA6">
        <w:t>However, another possibility is that Bahá’u’lláh revealed this tablet speciﬁcally for its recipient; M</w:t>
      </w:r>
      <w:r w:rsidR="002E6D01" w:rsidRPr="002E6D01">
        <w:t>í</w:t>
      </w:r>
      <w:r w:rsidRPr="00022AA6">
        <w:t xml:space="preserve">rzá </w:t>
      </w:r>
      <w:r w:rsidR="00957AD0" w:rsidRPr="00022AA6">
        <w:t>Mu</w:t>
      </w:r>
      <w:r w:rsidR="00957AD0" w:rsidRPr="00957AD0">
        <w:t>ḥ</w:t>
      </w:r>
      <w:r w:rsidR="00957AD0" w:rsidRPr="00022AA6">
        <w:t>ammad</w:t>
      </w:r>
      <w:r w:rsidRPr="00022AA6">
        <w:t xml:space="preserve"> </w:t>
      </w:r>
      <w:proofErr w:type="spellStart"/>
      <w:r w:rsidR="00957AD0" w:rsidRPr="00022AA6">
        <w:t>Ri</w:t>
      </w:r>
      <w:r w:rsidR="00957AD0" w:rsidRPr="00957AD0">
        <w:t>ḍ</w:t>
      </w:r>
      <w:r w:rsidR="00957AD0" w:rsidRPr="00022AA6">
        <w:t>á</w:t>
      </w:r>
      <w:r w:rsidRPr="00022AA6">
        <w:t>’s</w:t>
      </w:r>
      <w:proofErr w:type="spellEnd"/>
      <w:r w:rsidRPr="00022AA6">
        <w:t xml:space="preserve"> title was </w:t>
      </w:r>
      <w:proofErr w:type="spellStart"/>
      <w:r w:rsidR="002E6D01" w:rsidRPr="0012344C">
        <w:rPr>
          <w:i/>
          <w:iCs/>
        </w:rPr>
        <w:t>ṭ</w:t>
      </w:r>
      <w:r w:rsidRPr="00022AA6">
        <w:rPr>
          <w:i/>
          <w:iCs/>
        </w:rPr>
        <w:t>ab</w:t>
      </w:r>
      <w:r w:rsidR="002E6D01" w:rsidRPr="0012344C">
        <w:rPr>
          <w:i/>
          <w:iCs/>
        </w:rPr>
        <w:t>í</w:t>
      </w:r>
      <w:r w:rsidRPr="00022AA6">
        <w:rPr>
          <w:i/>
          <w:iCs/>
        </w:rPr>
        <w:t>b</w:t>
      </w:r>
      <w:proofErr w:type="spellEnd"/>
      <w:r w:rsidRPr="00022AA6">
        <w:t>, which typically denoted a medical practitioner who treated illness through diet and medications (</w:t>
      </w:r>
      <w:proofErr w:type="spellStart"/>
      <w:r w:rsidRPr="00022AA6">
        <w:t>Ebrahimnejad</w:t>
      </w:r>
      <w:proofErr w:type="spellEnd"/>
      <w:r w:rsidRPr="00022AA6">
        <w:t>, “Theory” 173).</w:t>
      </w:r>
    </w:p>
    <w:p w:rsidR="00022AA6" w:rsidRPr="00022AA6" w:rsidRDefault="00022AA6" w:rsidP="0012344C">
      <w:pPr>
        <w:pStyle w:val="Text"/>
      </w:pPr>
      <w:r w:rsidRPr="00022AA6">
        <w:t>In brief, Bahá’u’lláh draws attention to the relationship between eating and prayer; the proper order, timing, and chewing of food; foods to avoid; what to do after eating; the importance of eating breakfast; the dangers of over-eating; and food as medicine.</w:t>
      </w:r>
      <w:r w:rsidR="0012344C">
        <w:t xml:space="preserve"> </w:t>
      </w:r>
      <w:r w:rsidRPr="00022AA6">
        <w:t xml:space="preserve"> As mentioned earlier, line eight of the tablet contains the following advice:</w:t>
      </w:r>
    </w:p>
    <w:p w:rsidR="00022AA6" w:rsidRPr="007E5BB9" w:rsidRDefault="00022AA6" w:rsidP="00281186">
      <w:pPr>
        <w:pStyle w:val="Quote"/>
      </w:pPr>
      <w:proofErr w:type="gramStart"/>
      <w:r w:rsidRPr="00022AA6">
        <w:t xml:space="preserve">8 </w:t>
      </w:r>
      <w:r w:rsidR="0012344C">
        <w:t xml:space="preserve"> </w:t>
      </w:r>
      <w:r w:rsidRPr="00022AA6">
        <w:t>Treat</w:t>
      </w:r>
      <w:proofErr w:type="gramEnd"/>
      <w:r w:rsidRPr="00022AA6">
        <w:t xml:space="preserve"> an illness ﬁrstly with nutrients (or foods, aliments, </w:t>
      </w:r>
      <w:proofErr w:type="spellStart"/>
      <w:r w:rsidRPr="00736AE4">
        <w:rPr>
          <w:i/>
          <w:iCs w:val="0"/>
        </w:rPr>
        <w:t>a</w:t>
      </w:r>
      <w:r w:rsidRPr="00736AE4">
        <w:rPr>
          <w:i/>
          <w:iCs w:val="0"/>
          <w:u w:val="single"/>
        </w:rPr>
        <w:t>ghdh</w:t>
      </w:r>
      <w:r w:rsidRPr="00736AE4">
        <w:rPr>
          <w:i/>
          <w:iCs w:val="0"/>
        </w:rPr>
        <w:t>iya</w:t>
      </w:r>
      <w:proofErr w:type="spellEnd"/>
      <w:r w:rsidRPr="00022AA6">
        <w:t>) and proceed not [immediately] unto medications (</w:t>
      </w:r>
      <w:proofErr w:type="spellStart"/>
      <w:r w:rsidRPr="00736AE4">
        <w:rPr>
          <w:i/>
          <w:iCs w:val="0"/>
        </w:rPr>
        <w:t>adwiyat</w:t>
      </w:r>
      <w:proofErr w:type="spellEnd"/>
      <w:r w:rsidRPr="00022AA6">
        <w:t>). (</w:t>
      </w:r>
      <w:proofErr w:type="spellStart"/>
      <w:r w:rsidRPr="00022AA6">
        <w:t>Fananapazir</w:t>
      </w:r>
      <w:proofErr w:type="spellEnd"/>
      <w:r w:rsidRPr="00022AA6">
        <w:t xml:space="preserve"> and </w:t>
      </w:r>
      <w:proofErr w:type="spellStart"/>
      <w:r w:rsidRPr="00022AA6">
        <w:t>Lambden</w:t>
      </w:r>
      <w:proofErr w:type="spellEnd"/>
      <w:r w:rsidRPr="00022AA6">
        <w:t xml:space="preserve"> 22)</w:t>
      </w:r>
      <w:r w:rsidR="0012344C">
        <w:rPr>
          <w:rStyle w:val="FootnoteReference"/>
        </w:rPr>
        <w:footnoteReference w:id="15"/>
      </w:r>
    </w:p>
    <w:p w:rsidR="00022AA6" w:rsidRPr="00022AA6" w:rsidRDefault="00022AA6" w:rsidP="00A2349B">
      <w:pPr>
        <w:pStyle w:val="Text"/>
      </w:pPr>
      <w:r w:rsidRPr="00022AA6">
        <w:t>In this line, Bahá’u’lláh clearly wants the reader to ﬁrst use diet to cure illness.</w:t>
      </w:r>
      <w:r w:rsidR="0012344C">
        <w:t xml:space="preserve"> </w:t>
      </w:r>
      <w:r w:rsidRPr="00022AA6">
        <w:t xml:space="preserve"> Based on His injunction to leave oﬀ medications when the “constitution hath been restored” (</w:t>
      </w:r>
      <w:r w:rsidR="003D0280" w:rsidRPr="00022AA6">
        <w:t>Law</w:t>
      </w:r>
      <w:r w:rsidR="003D0280" w:rsidRPr="003D0280">
        <w:t>ḥ</w:t>
      </w:r>
      <w:r w:rsidRPr="00022AA6">
        <w:t>-</w:t>
      </w:r>
      <w:proofErr w:type="spellStart"/>
      <w:r w:rsidRPr="00022AA6">
        <w:t>i</w:t>
      </w:r>
      <w:proofErr w:type="spellEnd"/>
      <w:r w:rsidRPr="00022AA6">
        <w:t>-</w:t>
      </w:r>
      <w:proofErr w:type="spellStart"/>
      <w:r w:rsidR="003D0280" w:rsidRPr="00E31A27">
        <w:rPr>
          <w:rFonts w:eastAsia="PMingLiU"/>
          <w:lang w:eastAsia="zh-TW"/>
        </w:rPr>
        <w:t>Ṭibb</w:t>
      </w:r>
      <w:proofErr w:type="spellEnd"/>
      <w:r w:rsidRPr="00022AA6">
        <w:t xml:space="preserve"> line 6)</w:t>
      </w:r>
      <w:proofErr w:type="gramStart"/>
      <w:r w:rsidRPr="00022AA6">
        <w:t>,</w:t>
      </w:r>
      <w:proofErr w:type="gramEnd"/>
      <w:r w:rsidR="00A2349B">
        <w:rPr>
          <w:rStyle w:val="FootnoteReference"/>
        </w:rPr>
        <w:footnoteReference w:id="16"/>
      </w:r>
      <w:r w:rsidRPr="007E5BB9">
        <w:rPr>
          <w:rStyle w:val="EndnoteReference"/>
        </w:rPr>
        <w:t xml:space="preserve"> </w:t>
      </w:r>
      <w:r w:rsidRPr="00022AA6">
        <w:t>only when food does not produce healing should medications be used.</w:t>
      </w:r>
    </w:p>
    <w:p w:rsidR="00022AA6" w:rsidRPr="00022AA6" w:rsidRDefault="00022AA6" w:rsidP="00022AA6">
      <w:pPr>
        <w:pStyle w:val="Text"/>
      </w:pPr>
      <w:r w:rsidRPr="00022AA6">
        <w:t>Bahá’u’lláh implies that meditating on the health-related maxims contained in this tablet, would be “a sufﬁcient treasure for the wise ones in the absence of physicians” (</w:t>
      </w:r>
      <w:r w:rsidR="003D0280" w:rsidRPr="00022AA6">
        <w:t>Law</w:t>
      </w:r>
      <w:r w:rsidR="003D0280" w:rsidRPr="003D0280">
        <w:t>ḥ</w:t>
      </w:r>
      <w:r w:rsidRPr="00022AA6">
        <w:t>-</w:t>
      </w:r>
      <w:proofErr w:type="spellStart"/>
      <w:r w:rsidRPr="00022AA6">
        <w:t>i</w:t>
      </w:r>
      <w:proofErr w:type="spellEnd"/>
      <w:r w:rsidRPr="00022AA6">
        <w:t>-</w:t>
      </w:r>
      <w:proofErr w:type="spellStart"/>
      <w:r w:rsidR="003D0280" w:rsidRPr="00E31A27">
        <w:rPr>
          <w:rFonts w:eastAsia="PMingLiU"/>
          <w:lang w:eastAsia="zh-TW"/>
        </w:rPr>
        <w:t>Ṭibb</w:t>
      </w:r>
      <w:proofErr w:type="spellEnd"/>
      <w:r w:rsidRPr="00022AA6">
        <w:t xml:space="preserve"> line 3). </w:t>
      </w:r>
      <w:r w:rsidR="003F419A">
        <w:t xml:space="preserve"> </w:t>
      </w:r>
      <w:r w:rsidRPr="00022AA6">
        <w:t xml:space="preserve">One possible reading of line eight might thus be that in the absence of physicians, patients are to ﬁrst treat their illness through diet rather than through self-medication. </w:t>
      </w:r>
      <w:r w:rsidR="003F419A">
        <w:t xml:space="preserve"> </w:t>
      </w:r>
      <w:r w:rsidRPr="00022AA6">
        <w:t>This reading of the line is further corroborated by Bahá’u’lláh’s prefacing line 4 (and the beginning of His list of health-related maxims) with this general invocation to humanity as a whole:</w:t>
      </w:r>
    </w:p>
    <w:p w:rsidR="00022AA6" w:rsidRPr="00022AA6" w:rsidRDefault="00022AA6" w:rsidP="003F419A">
      <w:pPr>
        <w:pStyle w:val="Quote"/>
      </w:pPr>
      <w:proofErr w:type="gramStart"/>
      <w:r w:rsidRPr="00022AA6">
        <w:t>4</w:t>
      </w:r>
      <w:r>
        <w:t xml:space="preserve"> </w:t>
      </w:r>
      <w:r w:rsidR="003F419A">
        <w:t xml:space="preserve"> </w:t>
      </w:r>
      <w:r w:rsidRPr="00022AA6">
        <w:t>O</w:t>
      </w:r>
      <w:proofErr w:type="gramEnd"/>
      <w:r w:rsidRPr="00022AA6">
        <w:t xml:space="preserve"> People!</w:t>
      </w:r>
      <w:r w:rsidR="003F419A">
        <w:t xml:space="preserve"> </w:t>
      </w:r>
      <w:r w:rsidRPr="00022AA6">
        <w:t xml:space="preserve"> Eat not except after having hungered, and drink not after retiring to sleep (</w:t>
      </w:r>
      <w:r w:rsidRPr="003F419A">
        <w:rPr>
          <w:i/>
          <w:iCs w:val="0"/>
        </w:rPr>
        <w:t>al-</w:t>
      </w:r>
      <w:proofErr w:type="spellStart"/>
      <w:r w:rsidRPr="003F419A">
        <w:rPr>
          <w:i/>
          <w:iCs w:val="0"/>
        </w:rPr>
        <w:t>huj</w:t>
      </w:r>
      <w:r w:rsidR="003F419A" w:rsidRPr="00736AE4">
        <w:rPr>
          <w:i/>
          <w:iCs w:val="0"/>
        </w:rPr>
        <w:t>ú</w:t>
      </w:r>
      <w:proofErr w:type="spellEnd"/>
      <w:r w:rsidR="003F419A" w:rsidRPr="00736AE4">
        <w:rPr>
          <w:i/>
          <w:iCs w:val="0"/>
        </w:rPr>
        <w:t>‘</w:t>
      </w:r>
      <w:r w:rsidRPr="00022AA6">
        <w:t>). (</w:t>
      </w:r>
      <w:proofErr w:type="spellStart"/>
      <w:r w:rsidRPr="00022AA6">
        <w:t>Fananapazir</w:t>
      </w:r>
      <w:proofErr w:type="spellEnd"/>
      <w:r w:rsidRPr="00022AA6">
        <w:t xml:space="preserve"> and </w:t>
      </w:r>
      <w:proofErr w:type="spellStart"/>
      <w:r w:rsidRPr="00022AA6">
        <w:t>Lambden</w:t>
      </w:r>
      <w:proofErr w:type="spellEnd"/>
      <w:r w:rsidRPr="00022AA6">
        <w:t xml:space="preserve"> 22)</w:t>
      </w:r>
    </w:p>
    <w:p w:rsidR="00022AA6" w:rsidRPr="00022AA6" w:rsidRDefault="00022AA6" w:rsidP="00022AA6">
      <w:pPr>
        <w:pStyle w:val="Text"/>
      </w:pPr>
      <w:r w:rsidRPr="00022AA6">
        <w:t xml:space="preserve">The ﬁrst half of this line may be seen as a warning against eating for reasons other than hunger, such as depression, boredom, stress, or, more obviously, gluttony. </w:t>
      </w:r>
      <w:r w:rsidR="003F419A">
        <w:t xml:space="preserve"> </w:t>
      </w:r>
      <w:r w:rsidRPr="00022AA6">
        <w:t>A thread running throughout the tablet is that people should be aware of their “natural, inborn equilibrium” (</w:t>
      </w:r>
      <w:r w:rsidRPr="00022AA6">
        <w:rPr>
          <w:i/>
          <w:iCs/>
        </w:rPr>
        <w:t xml:space="preserve">Selections </w:t>
      </w:r>
      <w:r w:rsidRPr="00022AA6">
        <w:t>152) and of their attendant body signals.</w:t>
      </w:r>
      <w:r w:rsidR="003F419A">
        <w:t xml:space="preserve"> </w:t>
      </w:r>
      <w:r w:rsidRPr="00022AA6">
        <w:t xml:space="preserve"> In the ﬁrst part</w:t>
      </w:r>
    </w:p>
    <w:p w:rsidR="003F419A" w:rsidRDefault="003F419A">
      <w:pPr>
        <w:widowControl/>
        <w:kinsoku/>
        <w:overflowPunct/>
        <w:textAlignment w:val="auto"/>
      </w:pPr>
      <w:r>
        <w:br w:type="page"/>
      </w:r>
    </w:p>
    <w:p w:rsidR="00022AA6" w:rsidRPr="00022AA6" w:rsidRDefault="00022AA6" w:rsidP="003F419A">
      <w:pPr>
        <w:pStyle w:val="Textcts"/>
      </w:pPr>
      <w:proofErr w:type="gramStart"/>
      <w:r w:rsidRPr="00022AA6">
        <w:lastRenderedPageBreak/>
        <w:t>of</w:t>
      </w:r>
      <w:proofErr w:type="gramEnd"/>
      <w:r w:rsidRPr="00022AA6">
        <w:t xml:space="preserve"> line four, Bahá’u’lláh speciﬁcally draws our attention to the hunger signal. </w:t>
      </w:r>
      <w:r w:rsidR="003F419A">
        <w:t xml:space="preserve"> </w:t>
      </w:r>
      <w:r w:rsidRPr="00022AA6">
        <w:t>The second half of this line, however, deserves further consideration.</w:t>
      </w:r>
    </w:p>
    <w:p w:rsidR="00022AA6" w:rsidRPr="00022AA6" w:rsidRDefault="00022AA6" w:rsidP="003F419A">
      <w:pPr>
        <w:pStyle w:val="Text"/>
      </w:pPr>
      <w:proofErr w:type="spellStart"/>
      <w:r w:rsidRPr="00022AA6">
        <w:t>Fananapazir</w:t>
      </w:r>
      <w:proofErr w:type="spellEnd"/>
      <w:r w:rsidRPr="00022AA6">
        <w:t xml:space="preserve"> and </w:t>
      </w:r>
      <w:proofErr w:type="spellStart"/>
      <w:r w:rsidRPr="00022AA6">
        <w:t>Lambden</w:t>
      </w:r>
      <w:proofErr w:type="spellEnd"/>
      <w:r w:rsidRPr="00022AA6">
        <w:t xml:space="preserve"> (31–33) provide an excellent review of the Arabic word </w:t>
      </w:r>
      <w:r w:rsidRPr="00022AA6">
        <w:rPr>
          <w:i/>
          <w:iCs/>
        </w:rPr>
        <w:t>al-</w:t>
      </w:r>
      <w:proofErr w:type="spellStart"/>
      <w:proofErr w:type="gramStart"/>
      <w:r w:rsidRPr="00022AA6">
        <w:rPr>
          <w:i/>
          <w:iCs/>
        </w:rPr>
        <w:t>huj</w:t>
      </w:r>
      <w:r w:rsidR="003F419A" w:rsidRPr="00736AE4">
        <w:rPr>
          <w:i/>
          <w:iCs/>
        </w:rPr>
        <w:t>ú</w:t>
      </w:r>
      <w:proofErr w:type="spellEnd"/>
      <w:r w:rsidR="003F419A" w:rsidRPr="00736AE4">
        <w:rPr>
          <w:i/>
          <w:iCs/>
        </w:rPr>
        <w:t>‘</w:t>
      </w:r>
      <w:r w:rsidRPr="00022AA6">
        <w:rPr>
          <w:i/>
          <w:iCs/>
        </w:rPr>
        <w:t xml:space="preserve"> </w:t>
      </w:r>
      <w:r w:rsidRPr="00022AA6">
        <w:t>and</w:t>
      </w:r>
      <w:proofErr w:type="gramEnd"/>
      <w:r w:rsidRPr="00022AA6">
        <w:t xml:space="preserve"> its possible meanings, with reference to Greco-Islamic medical sources. </w:t>
      </w:r>
      <w:r w:rsidR="003F419A">
        <w:t xml:space="preserve"> </w:t>
      </w:r>
      <w:r w:rsidRPr="00022AA6">
        <w:t xml:space="preserve">In each of the three translations referenced in this paper, the word </w:t>
      </w:r>
      <w:r w:rsidRPr="00022AA6">
        <w:rPr>
          <w:i/>
          <w:iCs/>
        </w:rPr>
        <w:t>al-</w:t>
      </w:r>
      <w:proofErr w:type="spellStart"/>
      <w:proofErr w:type="gramStart"/>
      <w:r w:rsidRPr="00022AA6">
        <w:rPr>
          <w:i/>
          <w:iCs/>
        </w:rPr>
        <w:t>huj</w:t>
      </w:r>
      <w:r w:rsidR="003F419A" w:rsidRPr="00736AE4">
        <w:rPr>
          <w:i/>
          <w:iCs/>
        </w:rPr>
        <w:t>ú</w:t>
      </w:r>
      <w:proofErr w:type="spellEnd"/>
      <w:r w:rsidR="003F419A" w:rsidRPr="00736AE4">
        <w:rPr>
          <w:i/>
          <w:iCs/>
        </w:rPr>
        <w:t>‘</w:t>
      </w:r>
      <w:r w:rsidRPr="00022AA6">
        <w:rPr>
          <w:i/>
          <w:iCs/>
        </w:rPr>
        <w:t xml:space="preserve"> </w:t>
      </w:r>
      <w:r w:rsidRPr="00022AA6">
        <w:t>has</w:t>
      </w:r>
      <w:proofErr w:type="gramEnd"/>
      <w:r w:rsidRPr="00022AA6">
        <w:t xml:space="preserve"> been translated as “sleep”</w:t>
      </w:r>
      <w:r w:rsidR="003F419A">
        <w:t xml:space="preserve">. </w:t>
      </w:r>
      <w:r w:rsidRPr="00022AA6">
        <w:t xml:space="preserve"> It can, in fact, also be translated as being satisﬁed, appeased, or subsided (as it relates to hunger) (</w:t>
      </w:r>
      <w:proofErr w:type="spellStart"/>
      <w:r w:rsidRPr="00022AA6">
        <w:t>Steingass</w:t>
      </w:r>
      <w:proofErr w:type="spellEnd"/>
      <w:r w:rsidRPr="00022AA6">
        <w:t xml:space="preserve"> 1165; </w:t>
      </w:r>
      <w:proofErr w:type="spellStart"/>
      <w:r w:rsidRPr="00022AA6">
        <w:t>Wehr</w:t>
      </w:r>
      <w:proofErr w:type="spellEnd"/>
      <w:r w:rsidRPr="00022AA6">
        <w:t xml:space="preserve"> 1195).</w:t>
      </w:r>
      <w:r w:rsidR="003F419A">
        <w:t xml:space="preserve"> </w:t>
      </w:r>
      <w:r w:rsidRPr="00022AA6">
        <w:t xml:space="preserve"> So, line four could be read as Bahá’u’lláh cautioning against drinking ﬂuids (or taking in food of any kind) after having achieved satisfaction (or satiety) with a meal. </w:t>
      </w:r>
      <w:r w:rsidR="003F419A">
        <w:t xml:space="preserve"> </w:t>
      </w:r>
      <w:r w:rsidRPr="00022AA6">
        <w:t>Pursuing this reading, and assuming that eating and drinking are essentially the same action</w:t>
      </w:r>
      <w:proofErr w:type="gramStart"/>
      <w:r w:rsidRPr="00022AA6">
        <w:t xml:space="preserve">, </w:t>
      </w:r>
      <w:r w:rsidR="003F419A">
        <w:t xml:space="preserve"> </w:t>
      </w:r>
      <w:r w:rsidRPr="00022AA6">
        <w:t>Bahá’u’lláh’s</w:t>
      </w:r>
      <w:proofErr w:type="gramEnd"/>
      <w:r w:rsidRPr="00022AA6">
        <w:t xml:space="preserve"> injunction may be paraphrased as</w:t>
      </w:r>
      <w:r w:rsidR="002A4258">
        <w:t xml:space="preserve">:  </w:t>
      </w:r>
      <w:r w:rsidRPr="00022AA6">
        <w:t>do not eat except when needed to overcome hunger, and do not overeat.</w:t>
      </w:r>
    </w:p>
    <w:p w:rsidR="00022AA6" w:rsidRPr="007E5BB9" w:rsidRDefault="00CC607B" w:rsidP="00CC607B">
      <w:pPr>
        <w:pStyle w:val="Myhead"/>
      </w:pPr>
      <w:r w:rsidRPr="007E5BB9">
        <w:t>Lifestyle habits</w:t>
      </w:r>
    </w:p>
    <w:p w:rsidR="00022AA6" w:rsidRPr="00022AA6" w:rsidRDefault="00022AA6" w:rsidP="00022AA6">
      <w:pPr>
        <w:pStyle w:val="Text"/>
      </w:pPr>
      <w:r w:rsidRPr="00022AA6">
        <w:t>Some of the health maxims in the tablet concern healthy lifestyle habits, such as exercise and “puriﬁcation of the bowels”:</w:t>
      </w:r>
    </w:p>
    <w:p w:rsidR="00022AA6" w:rsidRPr="00022AA6" w:rsidRDefault="00022AA6" w:rsidP="000B04D2">
      <w:pPr>
        <w:pStyle w:val="Quote"/>
      </w:pPr>
      <w:proofErr w:type="gramStart"/>
      <w:r w:rsidRPr="00022AA6">
        <w:t xml:space="preserve">25 </w:t>
      </w:r>
      <w:r w:rsidR="00CC607B">
        <w:t xml:space="preserve"> </w:t>
      </w:r>
      <w:r w:rsidRPr="00022AA6">
        <w:t>Puriﬁcation</w:t>
      </w:r>
      <w:proofErr w:type="gramEnd"/>
      <w:r w:rsidRPr="00022AA6">
        <w:t xml:space="preserve"> of the bowels (</w:t>
      </w:r>
      <w:proofErr w:type="spellStart"/>
      <w:r w:rsidRPr="00736AE4">
        <w:rPr>
          <w:i/>
          <w:iCs w:val="0"/>
        </w:rPr>
        <w:t>tanqiyat</w:t>
      </w:r>
      <w:proofErr w:type="spellEnd"/>
      <w:r w:rsidRPr="00736AE4">
        <w:rPr>
          <w:i/>
          <w:iCs w:val="0"/>
        </w:rPr>
        <w:t xml:space="preserve"> al-</w:t>
      </w:r>
      <w:proofErr w:type="spellStart"/>
      <w:r w:rsidRPr="00736AE4">
        <w:rPr>
          <w:i/>
          <w:iCs w:val="0"/>
        </w:rPr>
        <w:t>fu</w:t>
      </w:r>
      <w:r w:rsidR="0061110B" w:rsidRPr="00736AE4">
        <w:rPr>
          <w:i/>
          <w:iCs w:val="0"/>
        </w:rPr>
        <w:t>ḍú</w:t>
      </w:r>
      <w:r w:rsidRPr="00736AE4">
        <w:rPr>
          <w:i/>
          <w:iCs w:val="0"/>
        </w:rPr>
        <w:t>l</w:t>
      </w:r>
      <w:proofErr w:type="spellEnd"/>
      <w:r w:rsidRPr="00022AA6">
        <w:t xml:space="preserve">) constitutes a pillar [of health, </w:t>
      </w:r>
      <w:r w:rsidRPr="00736AE4">
        <w:rPr>
          <w:i/>
          <w:iCs w:val="0"/>
        </w:rPr>
        <w:t>al-‘</w:t>
      </w:r>
      <w:proofErr w:type="spellStart"/>
      <w:r w:rsidRPr="00736AE4">
        <w:rPr>
          <w:i/>
          <w:iCs w:val="0"/>
        </w:rPr>
        <w:t>umdat</w:t>
      </w:r>
      <w:proofErr w:type="spellEnd"/>
      <w:r w:rsidRPr="00022AA6">
        <w:t>] when accomplished in the temperate seasons (</w:t>
      </w:r>
      <w:r w:rsidRPr="00736AE4">
        <w:rPr>
          <w:i/>
          <w:iCs w:val="0"/>
        </w:rPr>
        <w:t>al-</w:t>
      </w:r>
      <w:proofErr w:type="spellStart"/>
      <w:r w:rsidRPr="00736AE4">
        <w:rPr>
          <w:i/>
          <w:iCs w:val="0"/>
        </w:rPr>
        <w:t>fu</w:t>
      </w:r>
      <w:r w:rsidR="000B04D2" w:rsidRPr="00736AE4">
        <w:rPr>
          <w:i/>
          <w:iCs w:val="0"/>
        </w:rPr>
        <w:t>ṣú</w:t>
      </w:r>
      <w:r w:rsidRPr="00736AE4">
        <w:rPr>
          <w:i/>
          <w:iCs w:val="0"/>
        </w:rPr>
        <w:t>l</w:t>
      </w:r>
      <w:proofErr w:type="spellEnd"/>
      <w:r w:rsidRPr="00736AE4">
        <w:rPr>
          <w:i/>
          <w:iCs w:val="0"/>
        </w:rPr>
        <w:t xml:space="preserve"> al-</w:t>
      </w:r>
      <w:proofErr w:type="spellStart"/>
      <w:r w:rsidRPr="00736AE4">
        <w:rPr>
          <w:i/>
          <w:iCs w:val="0"/>
        </w:rPr>
        <w:t>mu</w:t>
      </w:r>
      <w:r w:rsidR="000B04D2" w:rsidRPr="00736AE4">
        <w:rPr>
          <w:i/>
          <w:iCs w:val="0"/>
        </w:rPr>
        <w:t>‘</w:t>
      </w:r>
      <w:r w:rsidRPr="00736AE4">
        <w:rPr>
          <w:i/>
          <w:iCs w:val="0"/>
        </w:rPr>
        <w:t>tadila</w:t>
      </w:r>
      <w:proofErr w:type="spellEnd"/>
      <w:r w:rsidRPr="00022AA6">
        <w:t>). (</w:t>
      </w:r>
      <w:proofErr w:type="spellStart"/>
      <w:r w:rsidRPr="00022AA6">
        <w:t>Fananapazir</w:t>
      </w:r>
      <w:proofErr w:type="spellEnd"/>
      <w:r w:rsidRPr="00022AA6">
        <w:t xml:space="preserve"> and </w:t>
      </w:r>
      <w:proofErr w:type="spellStart"/>
      <w:r w:rsidRPr="00022AA6">
        <w:t>Lambden</w:t>
      </w:r>
      <w:proofErr w:type="spellEnd"/>
      <w:r w:rsidRPr="00022AA6">
        <w:t xml:space="preserve"> 23)</w:t>
      </w:r>
    </w:p>
    <w:p w:rsidR="00022AA6" w:rsidRPr="00022AA6" w:rsidRDefault="00022AA6" w:rsidP="000B04D2">
      <w:pPr>
        <w:pStyle w:val="Text"/>
      </w:pPr>
      <w:r w:rsidRPr="00022AA6">
        <w:t>Another translation of the same line</w:t>
      </w:r>
      <w:r w:rsidR="000B04D2">
        <w:t xml:space="preserve"> </w:t>
      </w:r>
      <w:r w:rsidRPr="00022AA6">
        <w:t>reads</w:t>
      </w:r>
      <w:r w:rsidR="002A4258">
        <w:t xml:space="preserve">:  </w:t>
      </w:r>
      <w:r w:rsidRPr="00022AA6">
        <w:t>“To cleanse the body is essential, but only in temperate seasons (should it be done frequently)” (Bahá’u’lláh, “Tablet”).</w:t>
      </w:r>
    </w:p>
    <w:p w:rsidR="00022AA6" w:rsidRPr="00022AA6" w:rsidRDefault="00022AA6" w:rsidP="00022AA6">
      <w:pPr>
        <w:pStyle w:val="Text"/>
      </w:pPr>
      <w:r w:rsidRPr="00022AA6">
        <w:t>This line is sparse in details, but a comparison of the two translations above may assist the reader in arriving at a reasonable interpretation.</w:t>
      </w:r>
      <w:r w:rsidR="000B04D2">
        <w:t xml:space="preserve"> </w:t>
      </w:r>
      <w:r w:rsidRPr="00022AA6">
        <w:t xml:space="preserve"> “Puriﬁcation of the bowels” performed in the “temperate” seasons, which acts to “cleanse” the body, may be a reference to fasting, and in particular the Bahá’í Fast.</w:t>
      </w:r>
      <w:r w:rsidR="000B04D2">
        <w:t xml:space="preserve"> </w:t>
      </w:r>
      <w:r w:rsidRPr="00022AA6">
        <w:t xml:space="preserve"> Bahá’u’lláh lived in the northern </w:t>
      </w:r>
      <w:proofErr w:type="gramStart"/>
      <w:r w:rsidRPr="00022AA6">
        <w:t>hemisphere,</w:t>
      </w:r>
      <w:proofErr w:type="gramEnd"/>
      <w:r w:rsidRPr="00022AA6">
        <w:t xml:space="preserve"> and the Bahá’í Fast occurs in March, which coincides with the northern hemisphere’s temperate season.</w:t>
      </w:r>
    </w:p>
    <w:p w:rsidR="00022AA6" w:rsidRPr="00022AA6" w:rsidRDefault="000B04D2" w:rsidP="000B04D2">
      <w:pPr>
        <w:pStyle w:val="Myhead"/>
      </w:pPr>
      <w:r w:rsidRPr="00022AA6">
        <w:t>Medications</w:t>
      </w:r>
    </w:p>
    <w:p w:rsidR="00022AA6" w:rsidRPr="00022AA6" w:rsidRDefault="00022AA6" w:rsidP="00022AA6">
      <w:pPr>
        <w:pStyle w:val="Text"/>
      </w:pPr>
      <w:r w:rsidRPr="00022AA6">
        <w:t xml:space="preserve">Bahá’u’lláh gives advice on the appropriate use of medications for illness. </w:t>
      </w:r>
      <w:r w:rsidR="00281186">
        <w:t xml:space="preserve"> </w:t>
      </w:r>
      <w:r w:rsidRPr="00022AA6">
        <w:t>He diﬀerentiates between “elemental nutrients” and “compound treatments”:</w:t>
      </w:r>
    </w:p>
    <w:p w:rsidR="00022AA6" w:rsidRPr="00022AA6" w:rsidRDefault="00022AA6" w:rsidP="00281186">
      <w:pPr>
        <w:pStyle w:val="Quote"/>
      </w:pPr>
      <w:proofErr w:type="gramStart"/>
      <w:r w:rsidRPr="00022AA6">
        <w:t>9</w:t>
      </w:r>
      <w:r w:rsidR="00281186">
        <w:t xml:space="preserve"> </w:t>
      </w:r>
      <w:r w:rsidRPr="00022AA6">
        <w:t xml:space="preserve"> If</w:t>
      </w:r>
      <w:proofErr w:type="gramEnd"/>
      <w:r>
        <w:t xml:space="preserve"> </w:t>
      </w:r>
      <w:r w:rsidRPr="00022AA6">
        <w:t>that</w:t>
      </w:r>
      <w:r>
        <w:t xml:space="preserve"> </w:t>
      </w:r>
      <w:r w:rsidRPr="00022AA6">
        <w:t>which</w:t>
      </w:r>
      <w:r>
        <w:t xml:space="preserve"> </w:t>
      </w:r>
      <w:r w:rsidRPr="00022AA6">
        <w:t>thou</w:t>
      </w:r>
      <w:r>
        <w:t xml:space="preserve"> </w:t>
      </w:r>
      <w:r w:rsidRPr="00022AA6">
        <w:t>desire results from elemental nutrients (</w:t>
      </w:r>
      <w:r w:rsidRPr="00736AE4">
        <w:rPr>
          <w:i/>
          <w:iCs w:val="0"/>
        </w:rPr>
        <w:t>al-</w:t>
      </w:r>
      <w:proofErr w:type="spellStart"/>
      <w:r w:rsidRPr="00736AE4">
        <w:rPr>
          <w:i/>
          <w:iCs w:val="0"/>
        </w:rPr>
        <w:t>mufrad</w:t>
      </w:r>
      <w:r w:rsidR="00281186" w:rsidRPr="00736AE4">
        <w:rPr>
          <w:i/>
          <w:iCs w:val="0"/>
        </w:rPr>
        <w:t>á</w:t>
      </w:r>
      <w:r w:rsidRPr="00736AE4">
        <w:rPr>
          <w:i/>
          <w:iCs w:val="0"/>
        </w:rPr>
        <w:t>t</w:t>
      </w:r>
      <w:proofErr w:type="spellEnd"/>
      <w:r w:rsidRPr="00022AA6">
        <w:t>) refrain from the compound treatments (</w:t>
      </w:r>
      <w:r w:rsidRPr="00736AE4">
        <w:rPr>
          <w:i/>
          <w:iCs w:val="0"/>
        </w:rPr>
        <w:t>al-</w:t>
      </w:r>
      <w:proofErr w:type="spellStart"/>
      <w:r w:rsidRPr="00736AE4">
        <w:rPr>
          <w:i/>
          <w:iCs w:val="0"/>
        </w:rPr>
        <w:t>murakkab</w:t>
      </w:r>
      <w:r w:rsidR="00281186" w:rsidRPr="00736AE4">
        <w:rPr>
          <w:i/>
          <w:iCs w:val="0"/>
        </w:rPr>
        <w:t>á</w:t>
      </w:r>
      <w:r w:rsidRPr="00736AE4">
        <w:rPr>
          <w:i/>
          <w:iCs w:val="0"/>
        </w:rPr>
        <w:t>t</w:t>
      </w:r>
      <w:proofErr w:type="spellEnd"/>
      <w:r w:rsidRPr="00022AA6">
        <w:t>).</w:t>
      </w:r>
      <w:r w:rsidR="00281186">
        <w:rPr>
          <w:rStyle w:val="FootnoteReference"/>
        </w:rPr>
        <w:footnoteReference w:customMarkFollows="1" w:id="17"/>
        <w:t>*</w:t>
      </w:r>
      <w:r w:rsidRPr="00022AA6">
        <w:t xml:space="preserve"> (</w:t>
      </w:r>
      <w:proofErr w:type="spellStart"/>
      <w:r w:rsidRPr="00022AA6">
        <w:t>Fananapazir</w:t>
      </w:r>
      <w:proofErr w:type="spellEnd"/>
      <w:r w:rsidRPr="00022AA6">
        <w:t xml:space="preserve"> and </w:t>
      </w:r>
      <w:proofErr w:type="spellStart"/>
      <w:r w:rsidRPr="00022AA6">
        <w:t>Lambden</w:t>
      </w:r>
      <w:proofErr w:type="spellEnd"/>
      <w:r w:rsidRPr="00022AA6">
        <w:t xml:space="preserve"> 22)</w:t>
      </w:r>
    </w:p>
    <w:p w:rsidR="00022AA6" w:rsidRPr="00022AA6" w:rsidRDefault="00022AA6" w:rsidP="00090232">
      <w:pPr>
        <w:pStyle w:val="Text"/>
      </w:pPr>
      <w:r w:rsidRPr="00022AA6">
        <w:t>As stated in line 3 (see above), this tablet provides advice to</w:t>
      </w:r>
      <w:r>
        <w:t xml:space="preserve"> </w:t>
      </w:r>
      <w:r w:rsidRPr="00022AA6">
        <w:t>the</w:t>
      </w:r>
      <w:r>
        <w:t xml:space="preserve"> </w:t>
      </w:r>
      <w:r w:rsidRPr="00022AA6">
        <w:t>reader</w:t>
      </w:r>
      <w:r>
        <w:t xml:space="preserve"> </w:t>
      </w:r>
      <w:r w:rsidRPr="00022AA6">
        <w:t>in the absence of a physician (whose training allows him or her to supersede the above advice).</w:t>
      </w:r>
      <w:r w:rsidR="00090232">
        <w:t xml:space="preserve"> </w:t>
      </w:r>
      <w:r w:rsidRPr="00022AA6">
        <w:t xml:space="preserve"> In this case, the ﬁrst appropriate pharmacological treatment should be one that is composed of a single medicinal ingredient, or “elemental nutrient”</w:t>
      </w:r>
      <w:r w:rsidR="00090232">
        <w:t xml:space="preserve">. </w:t>
      </w:r>
      <w:r w:rsidRPr="00022AA6">
        <w:t xml:space="preserve"> Because measuring the eﬀectiveness of a treatment is more</w:t>
      </w:r>
    </w:p>
    <w:p w:rsidR="00090232" w:rsidRDefault="00090232">
      <w:pPr>
        <w:widowControl/>
        <w:kinsoku/>
        <w:overflowPunct/>
        <w:textAlignment w:val="auto"/>
      </w:pPr>
      <w:r>
        <w:br w:type="page"/>
      </w:r>
    </w:p>
    <w:p w:rsidR="00022AA6" w:rsidRPr="00022AA6" w:rsidRDefault="00022AA6" w:rsidP="00175B51">
      <w:pPr>
        <w:pStyle w:val="Textcts"/>
      </w:pPr>
      <w:proofErr w:type="gramStart"/>
      <w:r w:rsidRPr="00022AA6">
        <w:lastRenderedPageBreak/>
        <w:t>straightforward</w:t>
      </w:r>
      <w:proofErr w:type="gramEnd"/>
      <w:r w:rsidRPr="00022AA6">
        <w:t xml:space="preserve"> when a single medicine is used rather than a compound one, this advice implicitly reinforces a methodical and logical approach to the practice of medicine.</w:t>
      </w:r>
    </w:p>
    <w:p w:rsidR="00022AA6" w:rsidRPr="007E5BB9" w:rsidRDefault="00175B51" w:rsidP="007E5BB9">
      <w:pPr>
        <w:pStyle w:val="Myhead"/>
      </w:pPr>
      <w:r w:rsidRPr="007E5BB9">
        <w:t>Mental health</w:t>
      </w:r>
    </w:p>
    <w:p w:rsidR="00022AA6" w:rsidRPr="00022AA6" w:rsidRDefault="00022AA6" w:rsidP="00022AA6">
      <w:pPr>
        <w:pStyle w:val="Text"/>
      </w:pPr>
      <w:r w:rsidRPr="00022AA6">
        <w:t xml:space="preserve">Some of Bahá’u’lláh’s health maxims also concern mental health, speciﬁcally the avoidance of harmful habits of the mind, such as substance addiction, anxiousness and depression, and envy and rage, as well as the importance of striving to attain a condition of contentment under all circumstances. </w:t>
      </w:r>
      <w:r w:rsidR="00175B51">
        <w:t xml:space="preserve"> </w:t>
      </w:r>
      <w:r w:rsidRPr="00022AA6">
        <w:t xml:space="preserve">As we can see from the relevant passages quoted below from </w:t>
      </w:r>
      <w:proofErr w:type="spellStart"/>
      <w:r w:rsidRPr="00022AA6">
        <w:t>Fananapazir</w:t>
      </w:r>
      <w:proofErr w:type="spellEnd"/>
      <w:r w:rsidRPr="00022AA6">
        <w:t xml:space="preserve"> and </w:t>
      </w:r>
      <w:proofErr w:type="spellStart"/>
      <w:r w:rsidRPr="00022AA6">
        <w:t>Lambden’s</w:t>
      </w:r>
      <w:proofErr w:type="spellEnd"/>
      <w:r w:rsidRPr="00022AA6">
        <w:t xml:space="preserve"> translation, each admonition is accompanied by a brief rationale:</w:t>
      </w:r>
    </w:p>
    <w:p w:rsidR="00022AA6" w:rsidRPr="00022AA6" w:rsidRDefault="00022AA6" w:rsidP="00175B51">
      <w:pPr>
        <w:pStyle w:val="Quote"/>
      </w:pPr>
      <w:proofErr w:type="gramStart"/>
      <w:r w:rsidRPr="00022AA6">
        <w:t xml:space="preserve">19 </w:t>
      </w:r>
      <w:r w:rsidR="00175B51">
        <w:t xml:space="preserve"> </w:t>
      </w:r>
      <w:r w:rsidRPr="00022AA6">
        <w:t>Eschew</w:t>
      </w:r>
      <w:proofErr w:type="gramEnd"/>
      <w:r w:rsidRPr="00022AA6">
        <w:t xml:space="preserve"> harmful habits [i.e. addictive substances (</w:t>
      </w:r>
      <w:r w:rsidRPr="00736AE4">
        <w:rPr>
          <w:i/>
          <w:iCs w:val="0"/>
        </w:rPr>
        <w:t>al-</w:t>
      </w:r>
      <w:proofErr w:type="spellStart"/>
      <w:r w:rsidRPr="00736AE4">
        <w:rPr>
          <w:i/>
          <w:iCs w:val="0"/>
        </w:rPr>
        <w:t>i</w:t>
      </w:r>
      <w:r w:rsidR="00175B51" w:rsidRPr="00736AE4">
        <w:rPr>
          <w:i/>
          <w:iCs w:val="0"/>
        </w:rPr>
        <w:t>‘á</w:t>
      </w:r>
      <w:r w:rsidRPr="00736AE4">
        <w:rPr>
          <w:i/>
          <w:iCs w:val="0"/>
        </w:rPr>
        <w:t>da</w:t>
      </w:r>
      <w:proofErr w:type="spellEnd"/>
      <w:r w:rsidRPr="00736AE4">
        <w:rPr>
          <w:i/>
          <w:iCs w:val="0"/>
        </w:rPr>
        <w:t xml:space="preserve"> al-</w:t>
      </w:r>
      <w:proofErr w:type="spellStart"/>
      <w:r w:rsidRPr="00736AE4">
        <w:rPr>
          <w:i/>
          <w:iCs w:val="0"/>
        </w:rPr>
        <w:t>mu</w:t>
      </w:r>
      <w:r w:rsidR="00175B51" w:rsidRPr="00736AE4">
        <w:rPr>
          <w:i/>
          <w:iCs w:val="0"/>
        </w:rPr>
        <w:t>ḍ</w:t>
      </w:r>
      <w:r w:rsidRPr="00736AE4">
        <w:rPr>
          <w:i/>
          <w:iCs w:val="0"/>
        </w:rPr>
        <w:t>irra</w:t>
      </w:r>
      <w:proofErr w:type="spellEnd"/>
      <w:r w:rsidRPr="00022AA6">
        <w:t>)]</w:t>
      </w:r>
      <w:r w:rsidR="00175B51">
        <w:rPr>
          <w:rStyle w:val="FootnoteReference"/>
        </w:rPr>
        <w:footnoteReference w:customMarkFollows="1" w:id="18"/>
        <w:t>†</w:t>
      </w:r>
      <w:r w:rsidRPr="00022AA6">
        <w:t xml:space="preserve"> for</w:t>
      </w:r>
      <w:r>
        <w:t xml:space="preserve"> </w:t>
      </w:r>
      <w:r w:rsidRPr="00022AA6">
        <w:t>they</w:t>
      </w:r>
      <w:r>
        <w:t xml:space="preserve"> </w:t>
      </w:r>
      <w:r w:rsidRPr="00022AA6">
        <w:t>truly,</w:t>
      </w:r>
      <w:r>
        <w:t xml:space="preserve"> </w:t>
      </w:r>
      <w:r w:rsidRPr="00022AA6">
        <w:t>are</w:t>
      </w:r>
      <w:r>
        <w:t xml:space="preserve"> </w:t>
      </w:r>
      <w:r w:rsidRPr="00022AA6">
        <w:t>a calamity for created beings. (22–23)</w:t>
      </w:r>
    </w:p>
    <w:p w:rsidR="00022AA6" w:rsidRPr="00022AA6" w:rsidRDefault="00022AA6" w:rsidP="00175B51">
      <w:pPr>
        <w:pStyle w:val="Quotects"/>
      </w:pPr>
      <w:proofErr w:type="gramStart"/>
      <w:r w:rsidRPr="007E5BB9">
        <w:t>23</w:t>
      </w:r>
      <w:r w:rsidR="00175B51">
        <w:t xml:space="preserve">  </w:t>
      </w:r>
      <w:r w:rsidRPr="00022AA6">
        <w:t>Eschew</w:t>
      </w:r>
      <w:proofErr w:type="gramEnd"/>
      <w:r w:rsidRPr="00022AA6">
        <w:t xml:space="preserve"> anxiety (</w:t>
      </w:r>
      <w:r w:rsidRPr="00980DC9">
        <w:rPr>
          <w:i/>
          <w:iCs/>
        </w:rPr>
        <w:t>al-</w:t>
      </w:r>
      <w:proofErr w:type="spellStart"/>
      <w:r w:rsidRPr="00980DC9">
        <w:rPr>
          <w:i/>
          <w:iCs/>
        </w:rPr>
        <w:t>hamma</w:t>
      </w:r>
      <w:proofErr w:type="spellEnd"/>
      <w:r w:rsidRPr="00022AA6">
        <w:t>) and depression (</w:t>
      </w:r>
      <w:r w:rsidRPr="00980DC9">
        <w:rPr>
          <w:i/>
          <w:iCs/>
        </w:rPr>
        <w:t>al-</w:t>
      </w:r>
      <w:proofErr w:type="spellStart"/>
      <w:r w:rsidRPr="007E12EF">
        <w:rPr>
          <w:i/>
          <w:iCs/>
          <w:u w:val="single"/>
        </w:rPr>
        <w:t>gh</w:t>
      </w:r>
      <w:r w:rsidRPr="00980DC9">
        <w:rPr>
          <w:i/>
          <w:iCs/>
        </w:rPr>
        <w:t>amm</w:t>
      </w:r>
      <w:proofErr w:type="spellEnd"/>
      <w:r w:rsidRPr="00022AA6">
        <w:t>) for through both of these will transpire a darksome aﬄiction (</w:t>
      </w:r>
      <w:proofErr w:type="spellStart"/>
      <w:r w:rsidRPr="00980DC9">
        <w:rPr>
          <w:i/>
          <w:iCs/>
        </w:rPr>
        <w:t>bala</w:t>
      </w:r>
      <w:proofErr w:type="spellEnd"/>
      <w:r w:rsidRPr="00980DC9">
        <w:rPr>
          <w:i/>
          <w:iCs/>
        </w:rPr>
        <w:t xml:space="preserve">’ </w:t>
      </w:r>
      <w:proofErr w:type="spellStart"/>
      <w:r w:rsidRPr="00980DC9">
        <w:rPr>
          <w:i/>
          <w:iCs/>
        </w:rPr>
        <w:t>a</w:t>
      </w:r>
      <w:r w:rsidRPr="007E12EF">
        <w:rPr>
          <w:i/>
          <w:iCs/>
          <w:u w:val="single"/>
        </w:rPr>
        <w:t>dh</w:t>
      </w:r>
      <w:r w:rsidRPr="00980DC9">
        <w:rPr>
          <w:i/>
          <w:iCs/>
        </w:rPr>
        <w:t>am</w:t>
      </w:r>
      <w:proofErr w:type="spellEnd"/>
      <w:r w:rsidRPr="00022AA6">
        <w:t>). (23)</w:t>
      </w:r>
    </w:p>
    <w:p w:rsidR="00022AA6" w:rsidRPr="007E5BB9" w:rsidRDefault="00022AA6" w:rsidP="006043B2">
      <w:pPr>
        <w:pStyle w:val="Quotects"/>
      </w:pPr>
      <w:proofErr w:type="gramStart"/>
      <w:r w:rsidRPr="007E5BB9">
        <w:t>24</w:t>
      </w:r>
      <w:r w:rsidR="00175B51">
        <w:t xml:space="preserve">  </w:t>
      </w:r>
      <w:r w:rsidRPr="007E5BB9">
        <w:t>Say</w:t>
      </w:r>
      <w:proofErr w:type="gramEnd"/>
      <w:r w:rsidR="002A4258">
        <w:t xml:space="preserve">:  </w:t>
      </w:r>
      <w:r w:rsidRPr="007E5BB9">
        <w:t>Envy (</w:t>
      </w:r>
      <w:r w:rsidRPr="00980DC9">
        <w:rPr>
          <w:i/>
          <w:iCs/>
        </w:rPr>
        <w:t>al-</w:t>
      </w:r>
      <w:proofErr w:type="spellStart"/>
      <w:r w:rsidR="00351815" w:rsidRPr="00736AE4">
        <w:rPr>
          <w:i/>
          <w:iCs/>
        </w:rPr>
        <w:t>ḥ</w:t>
      </w:r>
      <w:r w:rsidRPr="00980DC9">
        <w:rPr>
          <w:i/>
          <w:iCs/>
        </w:rPr>
        <w:t>asad</w:t>
      </w:r>
      <w:proofErr w:type="spellEnd"/>
      <w:r w:rsidRPr="00980DC9">
        <w:t>)</w:t>
      </w:r>
      <w:r w:rsidRPr="007E5BB9">
        <w:t xml:space="preserve"> consumeth the body and rage (or anger, wrath, </w:t>
      </w:r>
      <w:r w:rsidRPr="00980DC9">
        <w:rPr>
          <w:i/>
          <w:iCs/>
        </w:rPr>
        <w:t>al-</w:t>
      </w:r>
      <w:proofErr w:type="spellStart"/>
      <w:r w:rsidRPr="006043B2">
        <w:rPr>
          <w:i/>
          <w:iCs/>
          <w:u w:val="single"/>
        </w:rPr>
        <w:t>gh</w:t>
      </w:r>
      <w:r w:rsidRPr="00980DC9">
        <w:rPr>
          <w:i/>
          <w:iCs/>
        </w:rPr>
        <w:t>ay</w:t>
      </w:r>
      <w:r w:rsidR="006043B2" w:rsidRPr="00736AE4">
        <w:rPr>
          <w:i/>
          <w:iCs/>
        </w:rPr>
        <w:t>ẓ</w:t>
      </w:r>
      <w:proofErr w:type="spellEnd"/>
      <w:r w:rsidRPr="007E5BB9">
        <w:t>) burneth the liver</w:t>
      </w:r>
      <w:r w:rsidR="002A4258">
        <w:t xml:space="preserve">:  </w:t>
      </w:r>
      <w:r w:rsidRPr="007E5BB9">
        <w:t>avoid these two as ye would a ﬁerce lion (</w:t>
      </w:r>
      <w:r w:rsidRPr="00980DC9">
        <w:rPr>
          <w:i/>
          <w:iCs/>
        </w:rPr>
        <w:t>al-</w:t>
      </w:r>
      <w:proofErr w:type="spellStart"/>
      <w:r w:rsidRPr="00980DC9">
        <w:rPr>
          <w:i/>
          <w:iCs/>
        </w:rPr>
        <w:t>asad</w:t>
      </w:r>
      <w:proofErr w:type="spellEnd"/>
      <w:r w:rsidRPr="00980DC9">
        <w:t>)</w:t>
      </w:r>
      <w:r w:rsidRPr="007E5BB9">
        <w:t>. (23)</w:t>
      </w:r>
    </w:p>
    <w:p w:rsidR="00022AA6" w:rsidRPr="00980DC9" w:rsidRDefault="00022AA6" w:rsidP="003721F2">
      <w:pPr>
        <w:pStyle w:val="Quotects"/>
      </w:pPr>
      <w:proofErr w:type="gramStart"/>
      <w:r w:rsidRPr="00022AA6">
        <w:t>22</w:t>
      </w:r>
      <w:r w:rsidR="00175B51">
        <w:t xml:space="preserve">  </w:t>
      </w:r>
      <w:r w:rsidRPr="00022AA6">
        <w:t>Most</w:t>
      </w:r>
      <w:proofErr w:type="gramEnd"/>
      <w:r w:rsidRPr="00022AA6">
        <w:t xml:space="preserve"> necessary to thy well-being is contentment</w:t>
      </w:r>
      <w:r w:rsidR="003721F2">
        <w:t xml:space="preserve"> </w:t>
      </w:r>
      <w:r w:rsidRPr="00022AA6">
        <w:t>(</w:t>
      </w:r>
      <w:r w:rsidRPr="00022AA6">
        <w:rPr>
          <w:i/>
          <w:iCs/>
        </w:rPr>
        <w:t>al-</w:t>
      </w:r>
      <w:proofErr w:type="spellStart"/>
      <w:r w:rsidRPr="00022AA6">
        <w:rPr>
          <w:i/>
          <w:iCs/>
        </w:rPr>
        <w:t>qan</w:t>
      </w:r>
      <w:r w:rsidR="003721F2" w:rsidRPr="00736AE4">
        <w:rPr>
          <w:i/>
          <w:iCs/>
        </w:rPr>
        <w:t>á‘</w:t>
      </w:r>
      <w:r w:rsidRPr="00022AA6">
        <w:rPr>
          <w:i/>
          <w:iCs/>
        </w:rPr>
        <w:t>at</w:t>
      </w:r>
      <w:proofErr w:type="spellEnd"/>
      <w:r w:rsidRPr="00022AA6">
        <w:t>) under all circumstances for through it will the soul be saved from sloth and ill-being. (23)</w:t>
      </w:r>
    </w:p>
    <w:p w:rsidR="00022AA6" w:rsidRPr="00B53F88" w:rsidRDefault="00B53F88" w:rsidP="00B53F88">
      <w:pPr>
        <w:pStyle w:val="Myheadc"/>
      </w:pPr>
      <w:r w:rsidRPr="00B53F88">
        <w:t>Final thoughts</w:t>
      </w:r>
    </w:p>
    <w:p w:rsidR="00022AA6" w:rsidRPr="00022AA6" w:rsidRDefault="00022AA6" w:rsidP="004C68D0">
      <w:pPr>
        <w:pStyle w:val="Text"/>
      </w:pPr>
      <w:r w:rsidRPr="00022AA6">
        <w:t xml:space="preserve">In the </w:t>
      </w:r>
      <w:r w:rsidR="003D0280" w:rsidRPr="00022AA6">
        <w:t>Law</w:t>
      </w:r>
      <w:r w:rsidR="003D0280" w:rsidRPr="003D0280">
        <w:t>ḥ</w:t>
      </w:r>
      <w:r w:rsidRPr="00022AA6">
        <w:t>-</w:t>
      </w:r>
      <w:proofErr w:type="spellStart"/>
      <w:r w:rsidRPr="00022AA6">
        <w:t>i</w:t>
      </w:r>
      <w:proofErr w:type="spellEnd"/>
      <w:r w:rsidRPr="00022AA6">
        <w:t>-</w:t>
      </w:r>
      <w:proofErr w:type="spellStart"/>
      <w:r w:rsidR="003D0280" w:rsidRPr="00E31A27">
        <w:rPr>
          <w:rFonts w:eastAsia="PMingLiU"/>
          <w:lang w:eastAsia="zh-TW"/>
        </w:rPr>
        <w:t>Ṭibb</w:t>
      </w:r>
      <w:proofErr w:type="spellEnd"/>
      <w:r w:rsidRPr="00022AA6">
        <w:t>, medicine is described as a harmonious blend between the physical and the spiritual, the practical and the mystical.</w:t>
      </w:r>
      <w:r w:rsidR="00B53F88">
        <w:t xml:space="preserve"> </w:t>
      </w:r>
      <w:r w:rsidRPr="00022AA6">
        <w:t xml:space="preserve"> The tablet enjoins a rational approach to the study and practice of medicine and encourages humanity to discover medical truths. </w:t>
      </w:r>
      <w:r w:rsidR="004C68D0">
        <w:t xml:space="preserve"> </w:t>
      </w:r>
      <w:r w:rsidRPr="00022AA6">
        <w:t>This same approach is invoked in another of Bahá’u’lláh’s writings, where humanity is urged to free itself “from idle fancy and imitation”</w:t>
      </w:r>
      <w:r w:rsidR="004C68D0">
        <w:t>,</w:t>
      </w:r>
      <w:r w:rsidRPr="00022AA6">
        <w:t xml:space="preserve"> and to “look into all things with a searching eye” (</w:t>
      </w:r>
      <w:r w:rsidRPr="00022AA6">
        <w:rPr>
          <w:i/>
          <w:iCs/>
        </w:rPr>
        <w:t xml:space="preserve">Tablets </w:t>
      </w:r>
      <w:r w:rsidRPr="00022AA6">
        <w:t xml:space="preserve">157). </w:t>
      </w:r>
      <w:r w:rsidR="004C68D0">
        <w:t xml:space="preserve"> </w:t>
      </w:r>
      <w:r w:rsidRPr="00022AA6">
        <w:t>This exhortation stands in contrast to the study and practice of medicine in Persia during the time this tablet was written, both of which were largely under the control of the ‘</w:t>
      </w:r>
      <w:r w:rsidR="004C68D0" w:rsidRPr="00022AA6">
        <w:t>ulamá</w:t>
      </w:r>
      <w:r w:rsidRPr="00022AA6">
        <w:t xml:space="preserve"> (</w:t>
      </w:r>
      <w:proofErr w:type="spellStart"/>
      <w:r w:rsidRPr="00022AA6">
        <w:t>Mahdavi</w:t>
      </w:r>
      <w:proofErr w:type="spellEnd"/>
      <w:r w:rsidRPr="00022AA6">
        <w:t xml:space="preserve"> 186; </w:t>
      </w:r>
      <w:proofErr w:type="spellStart"/>
      <w:r w:rsidRPr="00022AA6">
        <w:t>Ebrahimnejad</w:t>
      </w:r>
      <w:proofErr w:type="spellEnd"/>
      <w:r w:rsidRPr="00022AA6">
        <w:t>, “Theory” 175), who would blend medical prescriptions with rituals, prayer (</w:t>
      </w:r>
      <w:proofErr w:type="spellStart"/>
      <w:r w:rsidRPr="00022AA6">
        <w:t>Mahdavi</w:t>
      </w:r>
      <w:proofErr w:type="spellEnd"/>
      <w:r w:rsidRPr="00022AA6">
        <w:t xml:space="preserve"> 186), astrology, and magic (</w:t>
      </w:r>
      <w:proofErr w:type="spellStart"/>
      <w:r w:rsidRPr="00022AA6">
        <w:t>Ebrahimnejad</w:t>
      </w:r>
      <w:proofErr w:type="spellEnd"/>
      <w:r w:rsidRPr="00022AA6">
        <w:t>, “Theory” 175).</w:t>
      </w:r>
      <w:r w:rsidR="004C68D0">
        <w:t xml:space="preserve"> </w:t>
      </w:r>
      <w:r w:rsidRPr="00022AA6">
        <w:t xml:space="preserve"> By challenging any part of established medical knowledge or practice, Bahá’u’lláh may have been understood by some to be challenging the power and authority of the clergy.</w:t>
      </w:r>
    </w:p>
    <w:p w:rsidR="00C5744C" w:rsidRDefault="00022AA6" w:rsidP="00C5744C">
      <w:pPr>
        <w:pStyle w:val="Text"/>
      </w:pPr>
      <w:r w:rsidRPr="00022AA6">
        <w:t>As</w:t>
      </w:r>
      <w:r>
        <w:t xml:space="preserve"> </w:t>
      </w:r>
      <w:r w:rsidRPr="00022AA6">
        <w:t>we</w:t>
      </w:r>
      <w:r>
        <w:t xml:space="preserve"> </w:t>
      </w:r>
      <w:r w:rsidRPr="00022AA6">
        <w:t>noted</w:t>
      </w:r>
      <w:r>
        <w:t xml:space="preserve"> </w:t>
      </w:r>
      <w:r w:rsidRPr="00022AA6">
        <w:t>at</w:t>
      </w:r>
      <w:r>
        <w:t xml:space="preserve"> </w:t>
      </w:r>
      <w:r w:rsidRPr="00022AA6">
        <w:t>the</w:t>
      </w:r>
      <w:r>
        <w:t xml:space="preserve"> </w:t>
      </w:r>
      <w:r w:rsidRPr="00022AA6">
        <w:t>outset,</w:t>
      </w:r>
      <w:r>
        <w:t xml:space="preserve"> </w:t>
      </w:r>
      <w:r w:rsidRPr="00022AA6">
        <w:t>many</w:t>
      </w:r>
      <w:r w:rsidR="004C68D0">
        <w:t xml:space="preserve"> </w:t>
      </w:r>
      <w:r w:rsidRPr="00022AA6">
        <w:t>of Bahá’u’lláh’s health</w:t>
      </w:r>
      <w:r>
        <w:t xml:space="preserve"> </w:t>
      </w:r>
      <w:r w:rsidRPr="00022AA6">
        <w:t>injunctions are similar to those found in antiquity (</w:t>
      </w:r>
      <w:r w:rsidRPr="00022AA6">
        <w:rPr>
          <w:i/>
          <w:iCs/>
        </w:rPr>
        <w:t xml:space="preserve">Tablet </w:t>
      </w:r>
      <w:r w:rsidRPr="00022AA6">
        <w:t>19–21).</w:t>
      </w:r>
      <w:r w:rsidR="004C68D0">
        <w:t xml:space="preserve"> </w:t>
      </w:r>
      <w:r w:rsidRPr="00022AA6">
        <w:t xml:space="preserve"> Likewise, many of the diverse composers of authoritative medical texts in nineteenth-century Persia, ranging from the Twelver </w:t>
      </w:r>
      <w:proofErr w:type="spellStart"/>
      <w:r w:rsidRPr="004C68D0">
        <w:rPr>
          <w:u w:val="single"/>
        </w:rPr>
        <w:t>Sh</w:t>
      </w:r>
      <w:r w:rsidR="004C68D0" w:rsidRPr="004C68D0">
        <w:t>í</w:t>
      </w:r>
      <w:r w:rsidR="004C68D0">
        <w:t>‘</w:t>
      </w:r>
      <w:r w:rsidRPr="00022AA6">
        <w:t>a</w:t>
      </w:r>
      <w:proofErr w:type="spellEnd"/>
      <w:r w:rsidRPr="00022AA6">
        <w:t xml:space="preserve"> </w:t>
      </w:r>
      <w:proofErr w:type="spellStart"/>
      <w:r w:rsidRPr="00022AA6">
        <w:t>Im</w:t>
      </w:r>
      <w:r w:rsidR="004C68D0" w:rsidRPr="004C68D0">
        <w:t>á</w:t>
      </w:r>
      <w:r w:rsidRPr="00022AA6">
        <w:t>m’s</w:t>
      </w:r>
      <w:proofErr w:type="spellEnd"/>
      <w:r>
        <w:t xml:space="preserve"> </w:t>
      </w:r>
      <w:r w:rsidRPr="00022AA6">
        <w:t>to</w:t>
      </w:r>
      <w:r>
        <w:t xml:space="preserve"> </w:t>
      </w:r>
      <w:r w:rsidRPr="00022AA6">
        <w:t>empiricists</w:t>
      </w:r>
      <w:r>
        <w:t xml:space="preserve"> </w:t>
      </w:r>
      <w:r w:rsidRPr="00022AA6">
        <w:t xml:space="preserve">like </w:t>
      </w:r>
      <w:proofErr w:type="spellStart"/>
      <w:r w:rsidRPr="00022AA6">
        <w:t>a</w:t>
      </w:r>
      <w:r w:rsidR="004C68D0">
        <w:t>r</w:t>
      </w:r>
      <w:r w:rsidRPr="00022AA6">
        <w:t>-R</w:t>
      </w:r>
      <w:r w:rsidR="00C5744C" w:rsidRPr="00C5744C">
        <w:t>á</w:t>
      </w:r>
      <w:r w:rsidRPr="00022AA6">
        <w:t>z</w:t>
      </w:r>
      <w:r w:rsidR="00C5744C" w:rsidRPr="00C5744C">
        <w:t>í</w:t>
      </w:r>
      <w:proofErr w:type="spellEnd"/>
      <w:r w:rsidRPr="00022AA6">
        <w:t>,</w:t>
      </w:r>
    </w:p>
    <w:p w:rsidR="00C5744C" w:rsidRDefault="00C5744C">
      <w:pPr>
        <w:widowControl/>
        <w:kinsoku/>
        <w:overflowPunct/>
        <w:textAlignment w:val="auto"/>
      </w:pPr>
      <w:r>
        <w:br w:type="page"/>
      </w:r>
    </w:p>
    <w:p w:rsidR="00022AA6" w:rsidRPr="00022AA6" w:rsidRDefault="00022AA6" w:rsidP="00C5744C">
      <w:pPr>
        <w:pStyle w:val="Textcts"/>
      </w:pPr>
      <w:proofErr w:type="gramStart"/>
      <w:r w:rsidRPr="00022AA6">
        <w:lastRenderedPageBreak/>
        <w:t>drew</w:t>
      </w:r>
      <w:proofErr w:type="gramEnd"/>
      <w:r w:rsidRPr="00022AA6">
        <w:t xml:space="preserve"> on knowledge ﬁrst recorded by ancient Greeks. </w:t>
      </w:r>
      <w:r w:rsidR="00C5744C">
        <w:t xml:space="preserve"> </w:t>
      </w:r>
      <w:r w:rsidRPr="00022AA6">
        <w:t xml:space="preserve">To illuminate this intellectual lineage, </w:t>
      </w:r>
      <w:proofErr w:type="spellStart"/>
      <w:r w:rsidRPr="00022AA6">
        <w:t>Fananapazir</w:t>
      </w:r>
      <w:proofErr w:type="spellEnd"/>
      <w:r w:rsidRPr="00022AA6">
        <w:t xml:space="preserve"> and </w:t>
      </w:r>
      <w:proofErr w:type="spellStart"/>
      <w:r w:rsidRPr="00022AA6">
        <w:t>Lambden</w:t>
      </w:r>
      <w:proofErr w:type="spellEnd"/>
      <w:r w:rsidRPr="00022AA6">
        <w:t xml:space="preserve"> (18–53) have cross-referenced Bahá’u’lláh’s health injunctions with both ancient and more contemporary Greco-Islamic medical literature.</w:t>
      </w:r>
    </w:p>
    <w:p w:rsidR="00022AA6" w:rsidRPr="00022AA6" w:rsidRDefault="00022AA6" w:rsidP="00C5744C">
      <w:pPr>
        <w:pStyle w:val="Text"/>
      </w:pPr>
      <w:r w:rsidRPr="00022AA6">
        <w:t xml:space="preserve">Why does Bahá’u’lláh extensively quote and paraphrase past medical sources, which may have already been familiar to the tablet’s recipient? </w:t>
      </w:r>
      <w:r w:rsidR="00C5744C">
        <w:t xml:space="preserve"> </w:t>
      </w:r>
      <w:r w:rsidRPr="00022AA6">
        <w:t xml:space="preserve">Assuming the </w:t>
      </w:r>
      <w:r w:rsidR="003D0280" w:rsidRPr="00022AA6">
        <w:t>Law</w:t>
      </w:r>
      <w:r w:rsidR="003D0280" w:rsidRPr="003D0280">
        <w:t>ḥ</w:t>
      </w:r>
      <w:r w:rsidRPr="00022AA6">
        <w:t>-</w:t>
      </w:r>
      <w:proofErr w:type="spellStart"/>
      <w:r w:rsidRPr="00022AA6">
        <w:t>i</w:t>
      </w:r>
      <w:proofErr w:type="spellEnd"/>
      <w:r w:rsidRPr="00022AA6">
        <w:t>-</w:t>
      </w:r>
      <w:proofErr w:type="spellStart"/>
      <w:r w:rsidR="003D0280" w:rsidRPr="00E31A27">
        <w:rPr>
          <w:rFonts w:eastAsia="PMingLiU"/>
          <w:lang w:eastAsia="zh-TW"/>
        </w:rPr>
        <w:t>Ṭibb</w:t>
      </w:r>
      <w:proofErr w:type="spellEnd"/>
      <w:r w:rsidRPr="00022AA6">
        <w:t xml:space="preserve"> was revealed in the same rapid and uninterrupted manner as many of Bahá’u’lláh’s writings, a reader of the tablet might consider this work to be miraculous, given His ability to eﬀortlessly quote or closely paraphrase such a number and breadth of sources.</w:t>
      </w:r>
      <w:r w:rsidR="00C5744C">
        <w:t xml:space="preserve"> </w:t>
      </w:r>
      <w:r w:rsidRPr="00022AA6">
        <w:t xml:space="preserve"> There are examples of this impressive feat in Bahá’u’lláh’s other writings, too; in His </w:t>
      </w:r>
      <w:r w:rsidR="003D0280" w:rsidRPr="00022AA6">
        <w:t>Law</w:t>
      </w:r>
      <w:r w:rsidR="003D0280" w:rsidRPr="003D0280">
        <w:t>ḥ</w:t>
      </w:r>
      <w:r w:rsidRPr="00022AA6">
        <w:t>-</w:t>
      </w:r>
      <w:proofErr w:type="spellStart"/>
      <w:r w:rsidRPr="00022AA6">
        <w:t>i</w:t>
      </w:r>
      <w:proofErr w:type="spellEnd"/>
      <w:r w:rsidRPr="00022AA6">
        <w:t>-</w:t>
      </w:r>
      <w:r w:rsidR="00C5744C" w:rsidRPr="00022AA6">
        <w:t>Ḥikmat</w:t>
      </w:r>
      <w:r w:rsidRPr="00022AA6">
        <w:t>, Bahá’u’lláh quotes verbatim from well-known historians of antiquity, demonstrating to the reader His knowledge of, and authority on, historical matters.</w:t>
      </w:r>
      <w:r w:rsidR="00C5744C">
        <w:rPr>
          <w:rStyle w:val="FootnoteReference"/>
        </w:rPr>
        <w:footnoteReference w:id="19"/>
      </w:r>
      <w:r w:rsidR="00C5744C">
        <w:t xml:space="preserve">  </w:t>
      </w:r>
      <w:r w:rsidRPr="00022AA6">
        <w:t xml:space="preserve">He also extensively quotes (in a similarly rapid and uninterrupted manner) from His own decades-long corpus of writings in His </w:t>
      </w:r>
      <w:r w:rsidRPr="00022AA6">
        <w:rPr>
          <w:i/>
          <w:iCs/>
        </w:rPr>
        <w:t>Epistle to the Son of the Wolf</w:t>
      </w:r>
      <w:r w:rsidRPr="00022AA6">
        <w:t xml:space="preserve">. </w:t>
      </w:r>
      <w:r w:rsidR="00794947">
        <w:t xml:space="preserve"> </w:t>
      </w:r>
      <w:r w:rsidRPr="00022AA6">
        <w:t>These demonstrations may have the eﬀect of galvanizing a reader’s faith in Him.</w:t>
      </w:r>
    </w:p>
    <w:p w:rsidR="00022AA6" w:rsidRPr="00022AA6" w:rsidRDefault="00022AA6" w:rsidP="00794947">
      <w:pPr>
        <w:pStyle w:val="Text"/>
      </w:pPr>
      <w:r w:rsidRPr="00022AA6">
        <w:t>By</w:t>
      </w:r>
      <w:r>
        <w:t xml:space="preserve"> </w:t>
      </w:r>
      <w:r w:rsidRPr="00022AA6">
        <w:t>extensively</w:t>
      </w:r>
      <w:r>
        <w:t xml:space="preserve"> </w:t>
      </w:r>
      <w:r w:rsidRPr="00022AA6">
        <w:t>quoting</w:t>
      </w:r>
      <w:r>
        <w:t xml:space="preserve"> </w:t>
      </w:r>
      <w:r w:rsidRPr="00022AA6">
        <w:t>medical</w:t>
      </w:r>
      <w:r>
        <w:t xml:space="preserve"> </w:t>
      </w:r>
      <w:r w:rsidRPr="00022AA6">
        <w:t xml:space="preserve">sources, Bahá’u’lláh (who never </w:t>
      </w:r>
      <w:r w:rsidRPr="00794947">
        <w:t>received any formal</w:t>
      </w:r>
      <w:r>
        <w:t xml:space="preserve"> </w:t>
      </w:r>
      <w:r w:rsidRPr="00022AA6">
        <w:t>medical</w:t>
      </w:r>
      <w:r>
        <w:t xml:space="preserve"> </w:t>
      </w:r>
      <w:r w:rsidRPr="00022AA6">
        <w:t>training)</w:t>
      </w:r>
      <w:r w:rsidR="007E5BB9">
        <w:t xml:space="preserve"> </w:t>
      </w:r>
      <w:r w:rsidRPr="00022AA6">
        <w:t xml:space="preserve">was also demonstrating that He was conversant with the medical knowledge of His time. </w:t>
      </w:r>
      <w:r w:rsidR="00794947">
        <w:t xml:space="preserve"> </w:t>
      </w:r>
      <w:r w:rsidRPr="00022AA6">
        <w:t xml:space="preserve">To any contemporaneous reader of the tablet, Bahá’u’lláh speaks as an authority on medicine. </w:t>
      </w:r>
      <w:r w:rsidR="00794947">
        <w:t xml:space="preserve"> </w:t>
      </w:r>
      <w:r w:rsidRPr="00022AA6">
        <w:t>This authority is important, given Bahá’u’lláh’s challenge in the tablet to elevate medicine to a scientiﬁc discipline above the reach of ecclesiastical control and superstition.</w:t>
      </w:r>
    </w:p>
    <w:p w:rsidR="00022AA6" w:rsidRPr="00022AA6" w:rsidRDefault="00022AA6" w:rsidP="003507AB">
      <w:pPr>
        <w:pStyle w:val="Text"/>
      </w:pPr>
      <w:r w:rsidRPr="00022AA6">
        <w:t xml:space="preserve">Does Bahá’u’lláh endorse the medical advice that He references? </w:t>
      </w:r>
      <w:r w:rsidR="00AF2FC8">
        <w:t xml:space="preserve"> </w:t>
      </w:r>
      <w:r w:rsidRPr="00022AA6">
        <w:t xml:space="preserve">On the one hand, He does not explicitly suggest that this advice </w:t>
      </w:r>
      <w:proofErr w:type="gramStart"/>
      <w:r w:rsidRPr="00022AA6">
        <w:t>is faulty</w:t>
      </w:r>
      <w:proofErr w:type="gramEnd"/>
      <w:r w:rsidRPr="00022AA6">
        <w:t>, nor does He implicitly critique it as He may have critiqued the humoral theory elsewhere in His writings.</w:t>
      </w:r>
      <w:r w:rsidR="00AF2FC8">
        <w:rPr>
          <w:rStyle w:val="FootnoteReference"/>
        </w:rPr>
        <w:footnoteReference w:id="20"/>
      </w:r>
      <w:r w:rsidR="00AF2FC8">
        <w:t xml:space="preserve">  </w:t>
      </w:r>
      <w:r w:rsidRPr="00022AA6">
        <w:t>On the other hand, Bahá’u’lláh may be hinting that the medical advice in the tablet can be superseded by physicians and by medical science in general.</w:t>
      </w:r>
      <w:r w:rsidR="003507AB">
        <w:rPr>
          <w:rStyle w:val="FootnoteReference"/>
        </w:rPr>
        <w:footnoteReference w:id="21"/>
      </w:r>
      <w:r w:rsidR="003507AB">
        <w:t xml:space="preserve">  </w:t>
      </w:r>
      <w:r w:rsidRPr="00022AA6">
        <w:t>One possibility is that Bahá’u’lláh omitted any critique of the health advice in the interests of wisdom and conciliation, evoking His well-known maxim, “Not everything that a man knoweth can be disclosed, nor can everything that he can disclose be regarded as timely, nor can every timely utterance be considered as suited to the capacity of those who hear it” (</w:t>
      </w:r>
      <w:r w:rsidRPr="00022AA6">
        <w:rPr>
          <w:i/>
          <w:iCs/>
        </w:rPr>
        <w:t xml:space="preserve">Gleanings </w:t>
      </w:r>
      <w:r w:rsidRPr="00022AA6">
        <w:t xml:space="preserve">176). </w:t>
      </w:r>
      <w:r w:rsidR="00794947">
        <w:t xml:space="preserve"> </w:t>
      </w:r>
      <w:r w:rsidRPr="00022AA6">
        <w:t>Moreover, from the perspective of a modern reader, none of the health advice is</w:t>
      </w:r>
      <w:r>
        <w:t xml:space="preserve"> </w:t>
      </w:r>
      <w:r w:rsidRPr="00022AA6">
        <w:t xml:space="preserve">unreasonable or dangerous to follow. </w:t>
      </w:r>
      <w:r w:rsidR="00D74783">
        <w:t xml:space="preserve"> </w:t>
      </w:r>
      <w:r w:rsidRPr="00022AA6">
        <w:t>And one must remember that Bahá’u’lláh uses terminology that the tablet’s recipient would</w:t>
      </w:r>
    </w:p>
    <w:p w:rsidR="00D74783" w:rsidRDefault="00D74783">
      <w:pPr>
        <w:widowControl/>
        <w:kinsoku/>
        <w:overflowPunct/>
        <w:textAlignment w:val="auto"/>
      </w:pPr>
      <w:r>
        <w:br w:type="page"/>
      </w:r>
    </w:p>
    <w:p w:rsidR="00022AA6" w:rsidRPr="00022AA6" w:rsidRDefault="00022AA6" w:rsidP="00D74783">
      <w:pPr>
        <w:pStyle w:val="Textcts"/>
      </w:pPr>
      <w:proofErr w:type="gramStart"/>
      <w:r w:rsidRPr="00022AA6">
        <w:lastRenderedPageBreak/>
        <w:t>understand</w:t>
      </w:r>
      <w:proofErr w:type="gramEnd"/>
      <w:r w:rsidRPr="00022AA6">
        <w:t>, rather than more accurate terms that would have been unintelligible to His audience.</w:t>
      </w:r>
    </w:p>
    <w:p w:rsidR="00022AA6" w:rsidRPr="00022AA6" w:rsidRDefault="00022AA6" w:rsidP="007A3561">
      <w:pPr>
        <w:pStyle w:val="Text"/>
      </w:pPr>
      <w:r w:rsidRPr="00022AA6">
        <w:t xml:space="preserve">This tablet is the ﬁrst instance in which the Founder of a major world religion calls for medicine to be viewed as a science (utilizing proven diagnostics and therapies) and speciﬁcally advocates for paradigms (cause-eﬀect and equilibrium) meant to help it advance in a rational way. </w:t>
      </w:r>
      <w:r w:rsidR="007A3561">
        <w:t xml:space="preserve"> </w:t>
      </w:r>
      <w:r w:rsidRPr="00022AA6">
        <w:t>In retrospect, Bahá’u’lláh’s description of medicine is prophetic.</w:t>
      </w:r>
      <w:r w:rsidR="007A3561">
        <w:t xml:space="preserve"> </w:t>
      </w:r>
      <w:r w:rsidRPr="00022AA6">
        <w:t xml:space="preserve"> In the years since the tablet was written, medical science has, in many ways, evolved and matured far beyond what physicians contemporaneous with the tablet could have imagined. </w:t>
      </w:r>
      <w:r w:rsidR="007A3561">
        <w:t xml:space="preserve"> </w:t>
      </w:r>
      <w:r w:rsidRPr="00022AA6">
        <w:t xml:space="preserve">To determine the cause of illness, the modern physician, aware of disease categories and how commonly they present, is trained to obtain a thorough history and to use validated, evidence-based physical exam </w:t>
      </w:r>
      <w:proofErr w:type="spellStart"/>
      <w:r w:rsidRPr="00022AA6">
        <w:t>maneuvers</w:t>
      </w:r>
      <w:proofErr w:type="spellEnd"/>
      <w:r w:rsidRPr="00022AA6">
        <w:t xml:space="preserve"> and tools, such as diagnostic imaging and laboratory tests, to arrive at a list of possible diagnoses. </w:t>
      </w:r>
      <w:r w:rsidR="007A3561">
        <w:t xml:space="preserve"> </w:t>
      </w:r>
      <w:r w:rsidRPr="00022AA6">
        <w:t xml:space="preserve">These same </w:t>
      </w:r>
      <w:proofErr w:type="spellStart"/>
      <w:r w:rsidRPr="00022AA6">
        <w:t>maneuvers</w:t>
      </w:r>
      <w:proofErr w:type="spellEnd"/>
      <w:r w:rsidRPr="00022AA6">
        <w:t xml:space="preserve"> and tools allow for ongoing monitoring of the equilibrium in the body. </w:t>
      </w:r>
      <w:r w:rsidR="007A3561">
        <w:t xml:space="preserve"> </w:t>
      </w:r>
      <w:r w:rsidRPr="00022AA6">
        <w:t xml:space="preserve">A physician anywhere in the world can, using a common vocabulary and shared understanding, discuss a patient’s case with a physician elsewhere. </w:t>
      </w:r>
      <w:r w:rsidR="007A3561">
        <w:t xml:space="preserve"> </w:t>
      </w:r>
      <w:r w:rsidRPr="00022AA6">
        <w:t>In nineteenth-century Persia, conﬂict existed between practitioners of Western and traditional medicine (</w:t>
      </w:r>
      <w:proofErr w:type="spellStart"/>
      <w:r w:rsidRPr="00022AA6">
        <w:t>Mahdavi</w:t>
      </w:r>
      <w:proofErr w:type="spellEnd"/>
      <w:r w:rsidRPr="00022AA6">
        <w:t xml:space="preserve"> 185). </w:t>
      </w:r>
      <w:r w:rsidR="007A3561">
        <w:t xml:space="preserve"> </w:t>
      </w:r>
      <w:r w:rsidRPr="00022AA6">
        <w:t xml:space="preserve">Disagreements on medical diagnosis and treatment aside, other factors played into their conﬂict, such as medicine’s role in the social, political, and religious control of the masses (185). </w:t>
      </w:r>
      <w:r w:rsidR="007A3561">
        <w:t xml:space="preserve"> </w:t>
      </w:r>
      <w:r w:rsidRPr="00022AA6">
        <w:t xml:space="preserve">The </w:t>
      </w:r>
      <w:r w:rsidR="003D0280" w:rsidRPr="00022AA6">
        <w:t>Law</w:t>
      </w:r>
      <w:r w:rsidR="003D0280" w:rsidRPr="003D0280">
        <w:t>ḥ</w:t>
      </w:r>
      <w:r w:rsidRPr="00022AA6">
        <w:t>-</w:t>
      </w:r>
      <w:proofErr w:type="spellStart"/>
      <w:r w:rsidRPr="00022AA6">
        <w:t>i</w:t>
      </w:r>
      <w:proofErr w:type="spellEnd"/>
      <w:r w:rsidRPr="00022AA6">
        <w:t>-</w:t>
      </w:r>
      <w:proofErr w:type="spellStart"/>
      <w:r w:rsidR="003D0280" w:rsidRPr="00E31A27">
        <w:rPr>
          <w:rFonts w:eastAsia="PMingLiU"/>
          <w:lang w:eastAsia="zh-TW"/>
        </w:rPr>
        <w:t>Ṭibb</w:t>
      </w:r>
      <w:proofErr w:type="spellEnd"/>
      <w:r w:rsidRPr="00022AA6">
        <w:t xml:space="preserve"> seems</w:t>
      </w:r>
      <w:r w:rsidR="007A3561">
        <w:t xml:space="preserve"> </w:t>
      </w:r>
      <w:r w:rsidRPr="00022AA6">
        <w:t>to provide a point of conciliation and</w:t>
      </w:r>
      <w:r>
        <w:t xml:space="preserve"> </w:t>
      </w:r>
      <w:r w:rsidRPr="00022AA6">
        <w:t>a common frame of reference for</w:t>
      </w:r>
      <w:r>
        <w:t xml:space="preserve"> </w:t>
      </w:r>
      <w:r w:rsidRPr="00022AA6">
        <w:t>these opposed practitioners, in that Bahá’u’lláh wrote the tablet in a style accessible to any reader, and He used terms familiar to both Western-trained and traditionally-trained physicians.</w:t>
      </w:r>
    </w:p>
    <w:p w:rsidR="00022AA6" w:rsidRPr="00022AA6" w:rsidRDefault="00022AA6" w:rsidP="00022AA6">
      <w:pPr>
        <w:pStyle w:val="Text"/>
      </w:pPr>
      <w:r w:rsidRPr="00022AA6">
        <w:t>Bahá’u’lláh also challenges both types of physicians</w:t>
      </w:r>
      <w:r w:rsidR="002A4258">
        <w:t xml:space="preserve">:  </w:t>
      </w:r>
      <w:r w:rsidRPr="00022AA6">
        <w:t xml:space="preserve">while possibly casting doubt on the </w:t>
      </w:r>
      <w:proofErr w:type="spellStart"/>
      <w:r w:rsidRPr="00022AA6">
        <w:t>time-honored</w:t>
      </w:r>
      <w:proofErr w:type="spellEnd"/>
      <w:r w:rsidRPr="00022AA6">
        <w:t xml:space="preserve"> beliefs about humoral theory held by traditionalists, He also aﬃrms the role of God and spirituality in medicine, which may have been, and may still be, diﬃcult for “Western”</w:t>
      </w:r>
      <w:r>
        <w:t xml:space="preserve"> </w:t>
      </w:r>
      <w:r w:rsidRPr="00022AA6">
        <w:t xml:space="preserve">medicine to accept. </w:t>
      </w:r>
      <w:r w:rsidR="007A3561">
        <w:t xml:space="preserve"> </w:t>
      </w:r>
      <w:r w:rsidRPr="00022AA6">
        <w:t xml:space="preserve">Today, this dichotomization between “Western” “allopathic” medicine and “traditional” “holistic” medicine continues. </w:t>
      </w:r>
      <w:r w:rsidR="007A3561">
        <w:t xml:space="preserve"> </w:t>
      </w:r>
      <w:r w:rsidRPr="00022AA6">
        <w:t>Bahá’u’lláh’s focus</w:t>
      </w:r>
      <w:r>
        <w:t xml:space="preserve"> </w:t>
      </w:r>
      <w:r w:rsidRPr="00022AA6">
        <w:t>on fundamental concepts in medicine (such as cause and eﬀect, equilibrium in the body, use of established means, and spirituality in healing) can form the basis of a discourse to which anyone—lay public or physician of any kind—can contribute, and the discussion of which will likely be at the heart of ongoing eﬀorts to unify medicine.</w:t>
      </w:r>
    </w:p>
    <w:p w:rsidR="00022AA6" w:rsidRPr="00022AA6" w:rsidRDefault="00022AA6" w:rsidP="00022AA6">
      <w:pPr>
        <w:pStyle w:val="Text"/>
      </w:pPr>
      <w:r w:rsidRPr="00022AA6">
        <w:t>Bahá’u’lláh, speaking from a place</w:t>
      </w:r>
      <w:r>
        <w:t xml:space="preserve"> </w:t>
      </w:r>
      <w:r w:rsidRPr="00022AA6">
        <w:t xml:space="preserve">of authority, refers to medicine as a science. </w:t>
      </w:r>
      <w:r w:rsidR="007A3561">
        <w:t xml:space="preserve"> </w:t>
      </w:r>
      <w:r w:rsidRPr="00022AA6">
        <w:t xml:space="preserve">Scientiﬁc discovery involves, among other things, justice, consultation, and putting ego aside in preference for the search for truth. </w:t>
      </w:r>
      <w:r w:rsidR="007A3561">
        <w:t xml:space="preserve"> </w:t>
      </w:r>
      <w:r w:rsidRPr="00022AA6">
        <w:t xml:space="preserve">The vast Bahá’í teachings shed light on these and many other relevant concepts. </w:t>
      </w:r>
      <w:r w:rsidR="007A3561">
        <w:t xml:space="preserve"> </w:t>
      </w:r>
      <w:r w:rsidRPr="00022AA6">
        <w:t xml:space="preserve">In this way, as it does for all other ﬁelds of human </w:t>
      </w:r>
      <w:proofErr w:type="spellStart"/>
      <w:r w:rsidRPr="00022AA6">
        <w:t>endeavor</w:t>
      </w:r>
      <w:proofErr w:type="spellEnd"/>
      <w:r w:rsidRPr="00022AA6">
        <w:t>, Bahá’u’lláh’s Revelation provides a foundational framework for the study and practice of the science of medicine.</w:t>
      </w:r>
    </w:p>
    <w:p w:rsidR="007A3561" w:rsidRPr="00736AE4" w:rsidRDefault="007A3561" w:rsidP="00736AE4">
      <w:r w:rsidRPr="00736AE4">
        <w:br w:type="page"/>
      </w:r>
    </w:p>
    <w:p w:rsidR="00022AA6" w:rsidRPr="00022AA6" w:rsidRDefault="007A3561" w:rsidP="007E5BB9">
      <w:pPr>
        <w:pStyle w:val="Myheadc"/>
      </w:pPr>
      <w:r w:rsidRPr="00022AA6">
        <w:lastRenderedPageBreak/>
        <w:t>Works cited</w:t>
      </w:r>
    </w:p>
    <w:p w:rsidR="00022AA6" w:rsidRPr="00736AE4" w:rsidRDefault="00022AA6" w:rsidP="009016DD">
      <w:pPr>
        <w:pStyle w:val="Bibliography"/>
        <w:spacing w:before="120"/>
      </w:pPr>
      <w:proofErr w:type="gramStart"/>
      <w:r w:rsidRPr="00736AE4">
        <w:t>‘Abdu’l-Bahá</w:t>
      </w:r>
      <w:r w:rsidR="009016DD">
        <w:t>.</w:t>
      </w:r>
      <w:proofErr w:type="gramEnd"/>
      <w:r w:rsidR="009016DD">
        <w:t xml:space="preserve">  </w:t>
      </w:r>
      <w:proofErr w:type="gramStart"/>
      <w:r w:rsidRPr="00F66854">
        <w:rPr>
          <w:i/>
          <w:iCs/>
        </w:rPr>
        <w:t>Selections from the Writings of ‘Abdu’l-Bahá</w:t>
      </w:r>
      <w:r w:rsidR="009016DD">
        <w:t>.</w:t>
      </w:r>
      <w:proofErr w:type="gramEnd"/>
      <w:r w:rsidR="009016DD">
        <w:t xml:space="preserve">  </w:t>
      </w:r>
      <w:proofErr w:type="gramStart"/>
      <w:r w:rsidRPr="00736AE4">
        <w:t>Bahá’í World Centre, 1982.</w:t>
      </w:r>
      <w:proofErr w:type="gramEnd"/>
    </w:p>
    <w:p w:rsidR="00022AA6" w:rsidRPr="00736AE4" w:rsidRDefault="009C1030" w:rsidP="00736AE4">
      <w:pPr>
        <w:pStyle w:val="Bibliography"/>
      </w:pPr>
      <w:r>
        <w:t>__________</w:t>
      </w:r>
      <w:r w:rsidR="009016DD">
        <w:t xml:space="preserve">.  </w:t>
      </w:r>
      <w:r w:rsidR="00022AA6" w:rsidRPr="009C1030">
        <w:rPr>
          <w:i/>
          <w:iCs/>
        </w:rPr>
        <w:t>Some Answered Questions</w:t>
      </w:r>
      <w:r w:rsidR="009016DD">
        <w:t xml:space="preserve">.  </w:t>
      </w:r>
      <w:proofErr w:type="gramStart"/>
      <w:r w:rsidR="00022AA6" w:rsidRPr="00736AE4">
        <w:t>US Bahá’í Publishing Trust, 2014.</w:t>
      </w:r>
      <w:proofErr w:type="gramEnd"/>
    </w:p>
    <w:p w:rsidR="00022AA6" w:rsidRPr="00736AE4" w:rsidRDefault="00022AA6" w:rsidP="009C1030">
      <w:pPr>
        <w:pStyle w:val="Bibliography"/>
      </w:pPr>
      <w:r w:rsidRPr="00736AE4">
        <w:t>Aristotle</w:t>
      </w:r>
      <w:r w:rsidR="009016DD">
        <w:t xml:space="preserve">.  </w:t>
      </w:r>
      <w:proofErr w:type="gramStart"/>
      <w:r w:rsidRPr="009C1030">
        <w:rPr>
          <w:i/>
          <w:iCs/>
        </w:rPr>
        <w:t>The Works of Aristotle</w:t>
      </w:r>
      <w:r w:rsidR="009016DD">
        <w:t>.</w:t>
      </w:r>
      <w:proofErr w:type="gramEnd"/>
      <w:r w:rsidR="009016DD">
        <w:t xml:space="preserve">  </w:t>
      </w:r>
      <w:proofErr w:type="gramStart"/>
      <w:r w:rsidRPr="00736AE4">
        <w:t>Translated under the editorship of W.</w:t>
      </w:r>
      <w:r w:rsidR="009016DD">
        <w:t xml:space="preserve"> </w:t>
      </w:r>
      <w:r w:rsidRPr="00736AE4">
        <w:t>D. Ross, vol. 1</w:t>
      </w:r>
      <w:r w:rsidR="009C1030">
        <w:t>.</w:t>
      </w:r>
      <w:proofErr w:type="gramEnd"/>
      <w:r w:rsidR="009C1030">
        <w:t xml:space="preserve"> </w:t>
      </w:r>
      <w:r w:rsidRPr="00736AE4">
        <w:t xml:space="preserve"> William Benton, 1988.</w:t>
      </w:r>
    </w:p>
    <w:p w:rsidR="00022AA6" w:rsidRPr="00736AE4" w:rsidRDefault="00022AA6" w:rsidP="00736AE4">
      <w:pPr>
        <w:pStyle w:val="Bibliography"/>
      </w:pPr>
      <w:proofErr w:type="gramStart"/>
      <w:r w:rsidRPr="00736AE4">
        <w:t>Bahá’u’lláh</w:t>
      </w:r>
      <w:r w:rsidR="009016DD">
        <w:t>.</w:t>
      </w:r>
      <w:proofErr w:type="gramEnd"/>
      <w:r w:rsidR="009016DD">
        <w:t xml:space="preserve">  </w:t>
      </w:r>
      <w:proofErr w:type="gramStart"/>
      <w:r w:rsidRPr="009C1030">
        <w:rPr>
          <w:i/>
          <w:iCs/>
        </w:rPr>
        <w:t>Epistle to the Son of the Wolf</w:t>
      </w:r>
      <w:r w:rsidR="009016DD">
        <w:t>.</w:t>
      </w:r>
      <w:proofErr w:type="gramEnd"/>
      <w:r w:rsidR="009016DD">
        <w:t xml:space="preserve">  </w:t>
      </w:r>
      <w:proofErr w:type="gramStart"/>
      <w:r w:rsidRPr="00736AE4">
        <w:t>US Bahá’í Publishing Trust, 1988.</w:t>
      </w:r>
      <w:proofErr w:type="gramEnd"/>
    </w:p>
    <w:p w:rsidR="00022AA6" w:rsidRPr="00736AE4" w:rsidRDefault="009C1030" w:rsidP="00736AE4">
      <w:pPr>
        <w:pStyle w:val="Bibliography"/>
      </w:pPr>
      <w:r>
        <w:t>__________</w:t>
      </w:r>
      <w:r w:rsidR="009016DD">
        <w:t xml:space="preserve">.  </w:t>
      </w:r>
      <w:proofErr w:type="gramStart"/>
      <w:r w:rsidR="00022AA6" w:rsidRPr="009C1030">
        <w:rPr>
          <w:i/>
          <w:iCs/>
        </w:rPr>
        <w:t>Gleanings from the Writings of Bahá’u’lláh</w:t>
      </w:r>
      <w:r w:rsidR="009016DD">
        <w:t>.</w:t>
      </w:r>
      <w:proofErr w:type="gramEnd"/>
      <w:r w:rsidR="009016DD">
        <w:t xml:space="preserve">  </w:t>
      </w:r>
      <w:proofErr w:type="gramStart"/>
      <w:r w:rsidR="00022AA6" w:rsidRPr="00736AE4">
        <w:t>US Bahá’í Publishing Trust, 1990.</w:t>
      </w:r>
      <w:proofErr w:type="gramEnd"/>
    </w:p>
    <w:p w:rsidR="00022AA6" w:rsidRPr="00736AE4" w:rsidRDefault="009C1030" w:rsidP="00736AE4">
      <w:pPr>
        <w:pStyle w:val="Bibliography"/>
      </w:pPr>
      <w:r>
        <w:t>__________</w:t>
      </w:r>
      <w:r w:rsidR="009016DD">
        <w:t xml:space="preserve">.  </w:t>
      </w:r>
      <w:proofErr w:type="gramStart"/>
      <w:r w:rsidR="00022AA6" w:rsidRPr="009C1030">
        <w:rPr>
          <w:i/>
          <w:iCs/>
        </w:rPr>
        <w:t>The Kitáb-i-Aqdas</w:t>
      </w:r>
      <w:r w:rsidR="009016DD">
        <w:t>.</w:t>
      </w:r>
      <w:proofErr w:type="gramEnd"/>
      <w:r w:rsidR="009016DD">
        <w:t xml:space="preserve">  </w:t>
      </w:r>
      <w:proofErr w:type="gramStart"/>
      <w:r w:rsidR="00022AA6" w:rsidRPr="00736AE4">
        <w:t>Bahá’í World Centre, 1992.</w:t>
      </w:r>
      <w:proofErr w:type="gramEnd"/>
    </w:p>
    <w:p w:rsidR="00022AA6" w:rsidRPr="00736AE4" w:rsidRDefault="009C1030" w:rsidP="009C1030">
      <w:pPr>
        <w:pStyle w:val="Bibliography"/>
      </w:pPr>
      <w:r>
        <w:t>__________</w:t>
      </w:r>
      <w:r w:rsidR="009016DD">
        <w:t xml:space="preserve">.  </w:t>
      </w:r>
      <w:proofErr w:type="spellStart"/>
      <w:proofErr w:type="gramStart"/>
      <w:r w:rsidR="00022AA6" w:rsidRPr="00736AE4">
        <w:t>M</w:t>
      </w:r>
      <w:r w:rsidRPr="009C1030">
        <w:t>á</w:t>
      </w:r>
      <w:r w:rsidR="00022AA6" w:rsidRPr="00736AE4">
        <w:t>’ida-yi</w:t>
      </w:r>
      <w:proofErr w:type="spellEnd"/>
      <w:r w:rsidR="00022AA6" w:rsidRPr="00736AE4">
        <w:t xml:space="preserve"> </w:t>
      </w:r>
      <w:proofErr w:type="spellStart"/>
      <w:r w:rsidRPr="009C1030">
        <w:t>Á</w:t>
      </w:r>
      <w:r w:rsidR="00022AA6" w:rsidRPr="00736AE4">
        <w:t>sm</w:t>
      </w:r>
      <w:r w:rsidRPr="009C1030">
        <w:t>á</w:t>
      </w:r>
      <w:r w:rsidR="00022AA6" w:rsidRPr="00736AE4">
        <w:t>n</w:t>
      </w:r>
      <w:r w:rsidRPr="009C1030">
        <w:t>í</w:t>
      </w:r>
      <w:proofErr w:type="spellEnd"/>
      <w:r w:rsidR="009016DD">
        <w:t>.</w:t>
      </w:r>
      <w:proofErr w:type="gramEnd"/>
      <w:r w:rsidR="009016DD">
        <w:t xml:space="preserve">  </w:t>
      </w:r>
      <w:proofErr w:type="gramStart"/>
      <w:r w:rsidR="00022AA6" w:rsidRPr="00736AE4">
        <w:t>First Indian Edition, vol. 1, Bahá’í Publishing Trust, 1984.</w:t>
      </w:r>
      <w:proofErr w:type="gramEnd"/>
    </w:p>
    <w:p w:rsidR="00022AA6" w:rsidRPr="00736AE4" w:rsidRDefault="009C1030" w:rsidP="009C1030">
      <w:pPr>
        <w:pStyle w:val="Bibliography"/>
      </w:pPr>
      <w:r>
        <w:t>__________</w:t>
      </w:r>
      <w:r w:rsidR="009016DD">
        <w:t xml:space="preserve">.  </w:t>
      </w:r>
      <w:proofErr w:type="spellStart"/>
      <w:proofErr w:type="gramStart"/>
      <w:r w:rsidRPr="009C1030">
        <w:rPr>
          <w:i/>
          <w:iCs/>
        </w:rPr>
        <w:t>Majmú‘iy-i-Alwáḥ-i-Mubárak</w:t>
      </w:r>
      <w:r w:rsidR="00022AA6" w:rsidRPr="009C1030">
        <w:rPr>
          <w:i/>
          <w:iCs/>
        </w:rPr>
        <w:t>a</w:t>
      </w:r>
      <w:proofErr w:type="spellEnd"/>
      <w:r w:rsidR="009016DD">
        <w:t>.</w:t>
      </w:r>
      <w:proofErr w:type="gramEnd"/>
      <w:r w:rsidR="009016DD">
        <w:t xml:space="preserve">  </w:t>
      </w:r>
      <w:proofErr w:type="gramStart"/>
      <w:r w:rsidR="00022AA6" w:rsidRPr="00736AE4">
        <w:t>US Bahá’í Publishing Trust, 1981.</w:t>
      </w:r>
      <w:proofErr w:type="gramEnd"/>
    </w:p>
    <w:p w:rsidR="00022AA6" w:rsidRPr="00736AE4" w:rsidRDefault="009C1030" w:rsidP="00736AE4">
      <w:pPr>
        <w:pStyle w:val="Bibliography"/>
      </w:pPr>
      <w:r>
        <w:t>__________</w:t>
      </w:r>
      <w:r w:rsidR="009016DD">
        <w:t xml:space="preserve">.  </w:t>
      </w:r>
      <w:proofErr w:type="gramStart"/>
      <w:r w:rsidR="00022AA6" w:rsidRPr="009C1030">
        <w:rPr>
          <w:i/>
          <w:iCs/>
        </w:rPr>
        <w:t>Prayers and Meditations by Bahá’u’lláh</w:t>
      </w:r>
      <w:r w:rsidR="009016DD">
        <w:t>.</w:t>
      </w:r>
      <w:proofErr w:type="gramEnd"/>
      <w:r w:rsidR="009016DD">
        <w:t xml:space="preserve">  </w:t>
      </w:r>
      <w:proofErr w:type="gramStart"/>
      <w:r w:rsidR="00022AA6" w:rsidRPr="00736AE4">
        <w:t>US Bahá’í Publishing Trust, 1987.</w:t>
      </w:r>
      <w:proofErr w:type="gramEnd"/>
    </w:p>
    <w:p w:rsidR="00022AA6" w:rsidRPr="00736AE4" w:rsidRDefault="009C1030" w:rsidP="00736AE4">
      <w:pPr>
        <w:pStyle w:val="Bibliography"/>
      </w:pPr>
      <w:r>
        <w:t>__________</w:t>
      </w:r>
      <w:r w:rsidR="009016DD">
        <w:t xml:space="preserve">.  </w:t>
      </w:r>
      <w:proofErr w:type="gramStart"/>
      <w:r w:rsidR="00022AA6" w:rsidRPr="00D96030">
        <w:rPr>
          <w:i/>
          <w:iCs/>
        </w:rPr>
        <w:t>Tablets of Bahá’u’lláh Revealed After the Kitáb-i-Aqdas</w:t>
      </w:r>
      <w:r w:rsidR="009016DD">
        <w:t>.</w:t>
      </w:r>
      <w:proofErr w:type="gramEnd"/>
      <w:r w:rsidR="009016DD">
        <w:t xml:space="preserve">  </w:t>
      </w:r>
      <w:proofErr w:type="gramStart"/>
      <w:r w:rsidR="00022AA6" w:rsidRPr="00736AE4">
        <w:t>US Bahá’í Publishing Trust, 1988.</w:t>
      </w:r>
      <w:proofErr w:type="gramEnd"/>
    </w:p>
    <w:p w:rsidR="00022AA6" w:rsidRPr="00736AE4" w:rsidRDefault="009C1030" w:rsidP="00D96030">
      <w:pPr>
        <w:pStyle w:val="Bibliography"/>
      </w:pPr>
      <w:r>
        <w:t>__________</w:t>
      </w:r>
      <w:r w:rsidR="009016DD">
        <w:t xml:space="preserve">.  </w:t>
      </w:r>
      <w:proofErr w:type="gramStart"/>
      <w:r w:rsidR="00022AA6" w:rsidRPr="00736AE4">
        <w:t>“Tablet of Medicine”</w:t>
      </w:r>
      <w:r w:rsidR="00D96030">
        <w:t>.</w:t>
      </w:r>
      <w:proofErr w:type="gramEnd"/>
      <w:r w:rsidR="00D96030">
        <w:t xml:space="preserve"> </w:t>
      </w:r>
      <w:r w:rsidR="00022AA6" w:rsidRPr="00736AE4">
        <w:t xml:space="preserve"> </w:t>
      </w:r>
      <w:proofErr w:type="gramStart"/>
      <w:r w:rsidR="00022AA6" w:rsidRPr="00736AE4">
        <w:t>Bahá’í Library Online, bahai-library.com/</w:t>
      </w:r>
      <w:proofErr w:type="spellStart"/>
      <w:r w:rsidR="00022AA6" w:rsidRPr="00736AE4">
        <w:t>bahaullah_lawh_tibb_anonymous</w:t>
      </w:r>
      <w:proofErr w:type="spellEnd"/>
      <w:r w:rsidR="00022AA6" w:rsidRPr="00736AE4">
        <w:t>.</w:t>
      </w:r>
      <w:proofErr w:type="gramEnd"/>
    </w:p>
    <w:p w:rsidR="00022AA6" w:rsidRPr="00736AE4" w:rsidRDefault="00022AA6" w:rsidP="00D96030">
      <w:pPr>
        <w:pStyle w:val="Bibliography"/>
      </w:pPr>
      <w:r w:rsidRPr="00736AE4">
        <w:t>Berryman, Jack W</w:t>
      </w:r>
      <w:r w:rsidR="009016DD">
        <w:t xml:space="preserve">.  </w:t>
      </w:r>
      <w:r w:rsidRPr="00736AE4">
        <w:t>“The Tradition of the ‘Six Things Non-Natural’</w:t>
      </w:r>
      <w:r w:rsidR="002A4258" w:rsidRPr="00736AE4">
        <w:t xml:space="preserve">:  </w:t>
      </w:r>
      <w:r w:rsidRPr="00736AE4">
        <w:t>Exercise and Medicine from Hippocrates through Ante-Bellum America”</w:t>
      </w:r>
      <w:r w:rsidR="00D96030">
        <w:t xml:space="preserve">. </w:t>
      </w:r>
      <w:r w:rsidRPr="00736AE4">
        <w:t xml:space="preserve"> </w:t>
      </w:r>
      <w:r w:rsidRPr="00D96030">
        <w:rPr>
          <w:i/>
          <w:iCs/>
        </w:rPr>
        <w:t>Exercise and Sport Sciences Reviews</w:t>
      </w:r>
      <w:r w:rsidRPr="00736AE4">
        <w:t>, vol. 17, no. 1, 1989, pp. 515–60.</w:t>
      </w:r>
    </w:p>
    <w:p w:rsidR="00022AA6" w:rsidRPr="00736AE4" w:rsidRDefault="00022AA6" w:rsidP="00AF3DE2">
      <w:pPr>
        <w:pStyle w:val="Bibliography"/>
      </w:pPr>
      <w:r w:rsidRPr="00736AE4">
        <w:t>Browne, Edward G</w:t>
      </w:r>
      <w:r w:rsidR="009016DD">
        <w:t xml:space="preserve">.  </w:t>
      </w:r>
      <w:proofErr w:type="gramStart"/>
      <w:r w:rsidRPr="00D96030">
        <w:rPr>
          <w:i/>
          <w:iCs/>
        </w:rPr>
        <w:t>Materials for the Study of the B</w:t>
      </w:r>
      <w:r w:rsidR="00AF3DE2" w:rsidRPr="00AF3DE2">
        <w:rPr>
          <w:i/>
        </w:rPr>
        <w:t>á</w:t>
      </w:r>
      <w:r w:rsidRPr="00D96030">
        <w:rPr>
          <w:i/>
          <w:iCs/>
        </w:rPr>
        <w:t>b</w:t>
      </w:r>
      <w:r w:rsidR="00AF3DE2" w:rsidRPr="00AF3DE2">
        <w:rPr>
          <w:i/>
        </w:rPr>
        <w:t>í</w:t>
      </w:r>
      <w:r w:rsidRPr="00D96030">
        <w:rPr>
          <w:i/>
          <w:iCs/>
        </w:rPr>
        <w:t xml:space="preserve"> Religion</w:t>
      </w:r>
      <w:r w:rsidR="009016DD">
        <w:t>.</w:t>
      </w:r>
      <w:proofErr w:type="gramEnd"/>
      <w:r w:rsidR="009016DD">
        <w:t xml:space="preserve">  </w:t>
      </w:r>
      <w:proofErr w:type="gramStart"/>
      <w:r w:rsidRPr="00736AE4">
        <w:t>Cambridge UP, 1918.</w:t>
      </w:r>
      <w:proofErr w:type="gramEnd"/>
    </w:p>
    <w:p w:rsidR="00AF3DE2" w:rsidRDefault="00022AA6" w:rsidP="00AF3DE2">
      <w:pPr>
        <w:pStyle w:val="Bibliography"/>
      </w:pPr>
      <w:proofErr w:type="gramStart"/>
      <w:r w:rsidRPr="00AF3DE2">
        <w:rPr>
          <w:i/>
          <w:iCs/>
        </w:rPr>
        <w:t>The Compilation of Compilations</w:t>
      </w:r>
      <w:r w:rsidR="009016DD">
        <w:t>.</w:t>
      </w:r>
      <w:proofErr w:type="gramEnd"/>
      <w:r w:rsidR="009016DD">
        <w:t xml:space="preserve">  </w:t>
      </w:r>
      <w:proofErr w:type="gramStart"/>
      <w:r w:rsidRPr="00736AE4">
        <w:t>Vol. 1</w:t>
      </w:r>
      <w:r w:rsidR="00AF3DE2">
        <w:t>.</w:t>
      </w:r>
      <w:proofErr w:type="gramEnd"/>
      <w:r w:rsidR="00AF3DE2">
        <w:t xml:space="preserve"> </w:t>
      </w:r>
      <w:r w:rsidRPr="00736AE4">
        <w:t xml:space="preserve"> </w:t>
      </w:r>
      <w:proofErr w:type="gramStart"/>
      <w:r w:rsidRPr="00736AE4">
        <w:t>Bahá’í Publications Australia, 1991</w:t>
      </w:r>
      <w:r w:rsidR="009016DD">
        <w:t>.</w:t>
      </w:r>
      <w:proofErr w:type="gramEnd"/>
    </w:p>
    <w:p w:rsidR="00022AA6" w:rsidRPr="00736AE4" w:rsidRDefault="00022AA6" w:rsidP="00AF3DE2">
      <w:pPr>
        <w:pStyle w:val="Bibliography"/>
      </w:pPr>
      <w:proofErr w:type="gramStart"/>
      <w:r w:rsidRPr="00736AE4">
        <w:t>Department of the Secretariat of the Universal House of Justice</w:t>
      </w:r>
      <w:r w:rsidR="009016DD">
        <w:t>.</w:t>
      </w:r>
      <w:proofErr w:type="gramEnd"/>
      <w:r w:rsidR="009016DD">
        <w:t xml:space="preserve">  </w:t>
      </w:r>
      <w:proofErr w:type="gramStart"/>
      <w:r w:rsidRPr="00736AE4">
        <w:t>“Letter to selected</w:t>
      </w:r>
      <w:r w:rsidR="00AF3DE2">
        <w:t xml:space="preserve"> </w:t>
      </w:r>
      <w:r w:rsidRPr="00736AE4">
        <w:t>National Spiritual Assemblies, Appendix II”</w:t>
      </w:r>
      <w:r w:rsidR="00AF3DE2">
        <w:t>.</w:t>
      </w:r>
      <w:proofErr w:type="gramEnd"/>
      <w:r w:rsidR="00AF3DE2">
        <w:t xml:space="preserve"> </w:t>
      </w:r>
      <w:r w:rsidRPr="00736AE4">
        <w:t xml:space="preserve"> </w:t>
      </w:r>
      <w:proofErr w:type="gramStart"/>
      <w:r w:rsidRPr="00736AE4">
        <w:t>4 Jul. 1999</w:t>
      </w:r>
      <w:r w:rsidR="009016DD">
        <w:t>.</w:t>
      </w:r>
      <w:proofErr w:type="gramEnd"/>
      <w:r w:rsidR="009016DD">
        <w:t xml:space="preserve">  </w:t>
      </w:r>
      <w:proofErr w:type="gramStart"/>
      <w:r w:rsidRPr="00736AE4">
        <w:t>Bahá’í Library,</w:t>
      </w:r>
      <w:hyperlink r:id="rId8">
        <w:r w:rsidRPr="00736AE4">
          <w:t xml:space="preserve"> www.bahai.org/library/authoritative-texts/the-universal-house-of-justice/</w:t>
        </w:r>
      </w:hyperlink>
      <w:r w:rsidRPr="00736AE4">
        <w:t>messages/</w:t>
      </w:r>
      <w:r w:rsidR="00AF3DE2">
        <w:t xml:space="preserve"> </w:t>
      </w:r>
      <w:r w:rsidRPr="00736AE4">
        <w:t>19990704_001/1#145482674.</w:t>
      </w:r>
      <w:proofErr w:type="gramEnd"/>
    </w:p>
    <w:p w:rsidR="00022AA6" w:rsidRPr="00736AE4" w:rsidRDefault="00022AA6" w:rsidP="00AF3DE2">
      <w:pPr>
        <w:pStyle w:val="Bibliography"/>
      </w:pPr>
      <w:proofErr w:type="spellStart"/>
      <w:r w:rsidRPr="00736AE4">
        <w:t>Deuraseh</w:t>
      </w:r>
      <w:proofErr w:type="spellEnd"/>
      <w:r w:rsidRPr="00736AE4">
        <w:t xml:space="preserve">, </w:t>
      </w:r>
      <w:proofErr w:type="spellStart"/>
      <w:r w:rsidRPr="00736AE4">
        <w:t>Nurdeen</w:t>
      </w:r>
      <w:proofErr w:type="spellEnd"/>
      <w:r w:rsidR="009016DD">
        <w:t xml:space="preserve">.  </w:t>
      </w:r>
      <w:r w:rsidRPr="00736AE4">
        <w:t>“Health and Medicine in the Islamic Tradition Based on the Book of Medicine (</w:t>
      </w:r>
      <w:proofErr w:type="spellStart"/>
      <w:r w:rsidRPr="00736AE4">
        <w:t>Kitab</w:t>
      </w:r>
      <w:proofErr w:type="spellEnd"/>
      <w:r w:rsidRPr="00736AE4">
        <w:t xml:space="preserve"> Al-</w:t>
      </w:r>
      <w:proofErr w:type="spellStart"/>
      <w:r w:rsidRPr="00736AE4">
        <w:t>Tibb</w:t>
      </w:r>
      <w:proofErr w:type="spellEnd"/>
      <w:r w:rsidRPr="00736AE4">
        <w:t xml:space="preserve">) of </w:t>
      </w:r>
      <w:proofErr w:type="spellStart"/>
      <w:r w:rsidRPr="00736AE4">
        <w:t>Sahih</w:t>
      </w:r>
      <w:proofErr w:type="spellEnd"/>
      <w:r w:rsidRPr="00736AE4">
        <w:t xml:space="preserve"> Al-Bukhari”</w:t>
      </w:r>
      <w:r w:rsidR="00AF3DE2">
        <w:t xml:space="preserve">. </w:t>
      </w:r>
      <w:r w:rsidRPr="00736AE4">
        <w:t xml:space="preserve"> </w:t>
      </w:r>
      <w:r w:rsidRPr="00AF3DE2">
        <w:rPr>
          <w:i/>
          <w:iCs/>
        </w:rPr>
        <w:t>Journal of the Islamic Society for the History of Islamic Medicine</w:t>
      </w:r>
      <w:r w:rsidRPr="00736AE4">
        <w:t>, vol. 5, 2006, pp. 2–14.</w:t>
      </w:r>
    </w:p>
    <w:p w:rsidR="00022AA6" w:rsidRPr="00736AE4" w:rsidRDefault="00022AA6" w:rsidP="00736AE4">
      <w:pPr>
        <w:pStyle w:val="Bibliography"/>
      </w:pPr>
      <w:proofErr w:type="spellStart"/>
      <w:r w:rsidRPr="00736AE4">
        <w:t>Ebrahimnejad</w:t>
      </w:r>
      <w:proofErr w:type="spellEnd"/>
      <w:r w:rsidRPr="00736AE4">
        <w:t xml:space="preserve">, </w:t>
      </w:r>
      <w:proofErr w:type="spellStart"/>
      <w:r w:rsidRPr="00736AE4">
        <w:t>Hormoz</w:t>
      </w:r>
      <w:proofErr w:type="spellEnd"/>
      <w:r w:rsidR="009016DD">
        <w:t xml:space="preserve">.  </w:t>
      </w:r>
      <w:r w:rsidRPr="00AF3DE2">
        <w:rPr>
          <w:i/>
          <w:iCs/>
        </w:rPr>
        <w:t>Medicine, Public Health and the Qajar State</w:t>
      </w:r>
      <w:r w:rsidR="002A4258" w:rsidRPr="00AF3DE2">
        <w:rPr>
          <w:i/>
          <w:iCs/>
        </w:rPr>
        <w:t xml:space="preserve">:  </w:t>
      </w:r>
      <w:r w:rsidRPr="00AF3DE2">
        <w:rPr>
          <w:i/>
          <w:iCs/>
        </w:rPr>
        <w:t>Patterns of Medical Modernization in Nineteenth-Century Iran</w:t>
      </w:r>
      <w:r w:rsidR="009016DD">
        <w:t xml:space="preserve">.  </w:t>
      </w:r>
      <w:proofErr w:type="gramStart"/>
      <w:r w:rsidRPr="00736AE4">
        <w:t>Brill, 2004.</w:t>
      </w:r>
      <w:proofErr w:type="gramEnd"/>
    </w:p>
    <w:p w:rsidR="00022AA6" w:rsidRPr="00736AE4" w:rsidRDefault="009C1030" w:rsidP="00AF3DE2">
      <w:pPr>
        <w:pStyle w:val="Bibliography"/>
      </w:pPr>
      <w:r>
        <w:t>__________</w:t>
      </w:r>
      <w:r w:rsidR="009016DD">
        <w:t xml:space="preserve">.  </w:t>
      </w:r>
      <w:r w:rsidR="00022AA6" w:rsidRPr="00736AE4">
        <w:t>“Theory and Practice in Nineteenth-Century Persian Medicine</w:t>
      </w:r>
      <w:r w:rsidR="002A4258" w:rsidRPr="00736AE4">
        <w:t xml:space="preserve">:  </w:t>
      </w:r>
      <w:r w:rsidR="00022AA6" w:rsidRPr="00736AE4">
        <w:t>Intellectual and Institutional Reforms”</w:t>
      </w:r>
      <w:r w:rsidR="00AF3DE2">
        <w:t xml:space="preserve">. </w:t>
      </w:r>
      <w:r w:rsidR="00022AA6" w:rsidRPr="00736AE4">
        <w:t xml:space="preserve"> </w:t>
      </w:r>
      <w:r w:rsidR="00022AA6" w:rsidRPr="00AF3DE2">
        <w:rPr>
          <w:i/>
          <w:iCs/>
        </w:rPr>
        <w:t>History of Science</w:t>
      </w:r>
      <w:r w:rsidR="00022AA6" w:rsidRPr="00736AE4">
        <w:t>, vol. 38, no. 2, 2000, pp. 171–78.</w:t>
      </w:r>
    </w:p>
    <w:p w:rsidR="00022AA6" w:rsidRPr="00736AE4" w:rsidRDefault="00022AA6" w:rsidP="00736AE4">
      <w:pPr>
        <w:pStyle w:val="Bibliography"/>
      </w:pPr>
      <w:r w:rsidRPr="00736AE4">
        <w:t>Esslemont, John E</w:t>
      </w:r>
      <w:r w:rsidR="009016DD">
        <w:t xml:space="preserve">.  </w:t>
      </w:r>
      <w:proofErr w:type="gramStart"/>
      <w:r w:rsidRPr="00AF3DE2">
        <w:rPr>
          <w:i/>
          <w:iCs/>
        </w:rPr>
        <w:t>Bahá’u’lláh and the New Era</w:t>
      </w:r>
      <w:r w:rsidR="009016DD">
        <w:t>.</w:t>
      </w:r>
      <w:proofErr w:type="gramEnd"/>
      <w:r w:rsidR="009016DD">
        <w:t xml:space="preserve">  </w:t>
      </w:r>
      <w:proofErr w:type="gramStart"/>
      <w:r w:rsidRPr="00736AE4">
        <w:t>US Bahá’í Publishing Trust, 1980.</w:t>
      </w:r>
      <w:proofErr w:type="gramEnd"/>
    </w:p>
    <w:p w:rsidR="00AF3DE2" w:rsidRDefault="00022AA6" w:rsidP="00AF3DE2">
      <w:pPr>
        <w:pStyle w:val="Bibliography"/>
      </w:pPr>
      <w:proofErr w:type="spellStart"/>
      <w:proofErr w:type="gramStart"/>
      <w:r w:rsidRPr="00736AE4">
        <w:t>Fananapazir</w:t>
      </w:r>
      <w:proofErr w:type="spellEnd"/>
      <w:r w:rsidRPr="00736AE4">
        <w:t xml:space="preserve">, </w:t>
      </w:r>
      <w:proofErr w:type="spellStart"/>
      <w:r w:rsidRPr="00736AE4">
        <w:t>Khazeh</w:t>
      </w:r>
      <w:proofErr w:type="spellEnd"/>
      <w:r w:rsidRPr="00736AE4">
        <w:t xml:space="preserve">, and Stephen </w:t>
      </w:r>
      <w:proofErr w:type="spellStart"/>
      <w:r w:rsidRPr="00736AE4">
        <w:t>Lambden</w:t>
      </w:r>
      <w:proofErr w:type="spellEnd"/>
      <w:r w:rsidR="009016DD">
        <w:t>.</w:t>
      </w:r>
      <w:proofErr w:type="gramEnd"/>
      <w:r w:rsidR="009016DD">
        <w:t xml:space="preserve">  </w:t>
      </w:r>
      <w:r w:rsidRPr="00736AE4">
        <w:t>“The Tablet of Medicine (</w:t>
      </w:r>
      <w:proofErr w:type="spellStart"/>
      <w:r w:rsidR="003D0280" w:rsidRPr="00736AE4">
        <w:t>Lawh</w:t>
      </w:r>
      <w:r w:rsidRPr="00736AE4">
        <w:t>-i</w:t>
      </w:r>
      <w:proofErr w:type="spellEnd"/>
      <w:r w:rsidRPr="00736AE4">
        <w:t>-</w:t>
      </w:r>
    </w:p>
    <w:p w:rsidR="00AF3DE2" w:rsidRDefault="00AF3DE2">
      <w:pPr>
        <w:widowControl/>
        <w:kinsoku/>
        <w:overflowPunct/>
        <w:textAlignment w:val="auto"/>
        <w:rPr>
          <w:sz w:val="18"/>
        </w:rPr>
      </w:pPr>
      <w:r>
        <w:br w:type="page"/>
      </w:r>
    </w:p>
    <w:p w:rsidR="00022AA6" w:rsidRPr="00736AE4" w:rsidRDefault="00AF3DE2" w:rsidP="00AF3DE2">
      <w:pPr>
        <w:pStyle w:val="Bibliography"/>
      </w:pPr>
      <w:r>
        <w:lastRenderedPageBreak/>
        <w:tab/>
      </w:r>
      <w:proofErr w:type="spellStart"/>
      <w:r w:rsidR="00022AA6" w:rsidRPr="00736AE4">
        <w:t>Tibb</w:t>
      </w:r>
      <w:proofErr w:type="spellEnd"/>
      <w:r w:rsidR="00022AA6" w:rsidRPr="00736AE4">
        <w:t>) of Bahá’u’lláh</w:t>
      </w:r>
      <w:r w:rsidR="002A4258" w:rsidRPr="00736AE4">
        <w:t xml:space="preserve">:  </w:t>
      </w:r>
      <w:r w:rsidR="00022AA6" w:rsidRPr="00736AE4">
        <w:t>A Provisional Translation with Occasional Notes”</w:t>
      </w:r>
      <w:r>
        <w:t xml:space="preserve">.  </w:t>
      </w:r>
      <w:proofErr w:type="gramStart"/>
      <w:r w:rsidR="00022AA6" w:rsidRPr="00AF3DE2">
        <w:rPr>
          <w:i/>
          <w:iCs/>
        </w:rPr>
        <w:t>Bahá’í Studies Bulletin</w:t>
      </w:r>
      <w:r w:rsidR="00022AA6" w:rsidRPr="00736AE4">
        <w:t>, vols. 6.4–7.2, 1992, pp. 18–65.</w:t>
      </w:r>
      <w:proofErr w:type="gramEnd"/>
    </w:p>
    <w:p w:rsidR="00022AA6" w:rsidRPr="00736AE4" w:rsidRDefault="00022AA6" w:rsidP="00AF3DE2">
      <w:pPr>
        <w:pStyle w:val="Bibliography"/>
      </w:pPr>
      <w:proofErr w:type="spellStart"/>
      <w:r w:rsidRPr="00736AE4">
        <w:t>Gignoux</w:t>
      </w:r>
      <w:proofErr w:type="spellEnd"/>
      <w:r w:rsidRPr="00736AE4">
        <w:t>, Philippe</w:t>
      </w:r>
      <w:r w:rsidR="009016DD">
        <w:t xml:space="preserve">.  </w:t>
      </w:r>
      <w:r w:rsidRPr="00736AE4">
        <w:t>“Health in Persia I</w:t>
      </w:r>
      <w:r w:rsidR="002A4258" w:rsidRPr="00736AE4">
        <w:t xml:space="preserve">:  </w:t>
      </w:r>
      <w:r w:rsidRPr="00736AE4">
        <w:t>Pre-Islamic Period”</w:t>
      </w:r>
      <w:r w:rsidR="00AF3DE2">
        <w:t xml:space="preserve">. </w:t>
      </w:r>
      <w:r w:rsidRPr="00736AE4">
        <w:t xml:space="preserve"> </w:t>
      </w:r>
      <w:r w:rsidRPr="00AF3DE2">
        <w:rPr>
          <w:i/>
          <w:iCs/>
        </w:rPr>
        <w:t xml:space="preserve">Encyclopaedia </w:t>
      </w:r>
      <w:proofErr w:type="spellStart"/>
      <w:r w:rsidRPr="00AF3DE2">
        <w:rPr>
          <w:i/>
          <w:iCs/>
        </w:rPr>
        <w:t>Iranica</w:t>
      </w:r>
      <w:proofErr w:type="spellEnd"/>
      <w:r w:rsidRPr="00736AE4">
        <w:t xml:space="preserve">, </w:t>
      </w:r>
      <w:hyperlink r:id="rId9">
        <w:r w:rsidRPr="00736AE4">
          <w:t>www.iranicaonline.org/articles/health-in-persia-i.</w:t>
        </w:r>
      </w:hyperlink>
    </w:p>
    <w:p w:rsidR="00022AA6" w:rsidRPr="00736AE4" w:rsidRDefault="00022AA6" w:rsidP="00AF3DE2">
      <w:pPr>
        <w:pStyle w:val="Bibliography"/>
      </w:pPr>
      <w:proofErr w:type="spellStart"/>
      <w:r w:rsidRPr="00736AE4">
        <w:t>Jarcho</w:t>
      </w:r>
      <w:proofErr w:type="spellEnd"/>
      <w:r w:rsidRPr="00736AE4">
        <w:t>, Saul</w:t>
      </w:r>
      <w:r w:rsidR="009016DD">
        <w:t xml:space="preserve">.  </w:t>
      </w:r>
      <w:r w:rsidRPr="00736AE4">
        <w:t>“Galen’s Six Non-Naturals</w:t>
      </w:r>
      <w:r w:rsidR="002A4258" w:rsidRPr="00736AE4">
        <w:t xml:space="preserve">:  </w:t>
      </w:r>
      <w:r w:rsidRPr="00736AE4">
        <w:t>A Bibliographic Note and Translation”</w:t>
      </w:r>
      <w:r w:rsidR="00AF3DE2">
        <w:t xml:space="preserve">.  </w:t>
      </w:r>
      <w:r w:rsidRPr="00AF3DE2">
        <w:rPr>
          <w:i/>
          <w:iCs/>
        </w:rPr>
        <w:t>Bulletin of the History of Medicine</w:t>
      </w:r>
      <w:r w:rsidRPr="00736AE4">
        <w:t>, vol. 44, no. 4, 1970, pp. 372–77.</w:t>
      </w:r>
    </w:p>
    <w:p w:rsidR="00022AA6" w:rsidRPr="00736AE4" w:rsidRDefault="00022AA6" w:rsidP="00AF3DE2">
      <w:pPr>
        <w:pStyle w:val="Bibliography"/>
      </w:pPr>
      <w:r w:rsidRPr="00736AE4">
        <w:t>Kirkpatrick, Bertha Hyde</w:t>
      </w:r>
      <w:r w:rsidR="009016DD">
        <w:t xml:space="preserve">.  </w:t>
      </w:r>
      <w:proofErr w:type="gramStart"/>
      <w:r w:rsidRPr="00736AE4">
        <w:t>“A Look Forward in Medical Service”</w:t>
      </w:r>
      <w:r w:rsidR="00AF3DE2">
        <w:t>.</w:t>
      </w:r>
      <w:proofErr w:type="gramEnd"/>
      <w:r w:rsidR="00AF3DE2">
        <w:t xml:space="preserve"> </w:t>
      </w:r>
      <w:r w:rsidRPr="00736AE4">
        <w:t xml:space="preserve"> </w:t>
      </w:r>
      <w:proofErr w:type="gramStart"/>
      <w:r w:rsidRPr="00AF3DE2">
        <w:rPr>
          <w:i/>
          <w:iCs/>
        </w:rPr>
        <w:t>Star of the West</w:t>
      </w:r>
      <w:r w:rsidRPr="00736AE4">
        <w:t>, vol. 21, no. 5, Aug. 1930, 159</w:t>
      </w:r>
      <w:r w:rsidR="00AF3DE2">
        <w:t>–</w:t>
      </w:r>
      <w:r w:rsidRPr="00736AE4">
        <w:t>60.</w:t>
      </w:r>
      <w:proofErr w:type="gramEnd"/>
    </w:p>
    <w:p w:rsidR="00022AA6" w:rsidRPr="00736AE4" w:rsidRDefault="00022AA6" w:rsidP="00AF3DE2">
      <w:pPr>
        <w:pStyle w:val="Bibliography"/>
      </w:pPr>
      <w:proofErr w:type="spellStart"/>
      <w:r w:rsidRPr="00736AE4">
        <w:t>Ma’ani</w:t>
      </w:r>
      <w:proofErr w:type="spellEnd"/>
      <w:r w:rsidRPr="00736AE4">
        <w:t xml:space="preserve">, </w:t>
      </w:r>
      <w:proofErr w:type="spellStart"/>
      <w:r w:rsidRPr="00736AE4">
        <w:t>Baharieh</w:t>
      </w:r>
      <w:proofErr w:type="spellEnd"/>
      <w:r w:rsidRPr="00736AE4">
        <w:t xml:space="preserve"> R</w:t>
      </w:r>
      <w:r w:rsidR="009016DD">
        <w:t xml:space="preserve">.  </w:t>
      </w:r>
      <w:proofErr w:type="gramStart"/>
      <w:r w:rsidRPr="00736AE4">
        <w:t>“The Eﬀect of Philosophical and Linguistic Gender Biases on the Degradation of Women’s Status in Religion”</w:t>
      </w:r>
      <w:r w:rsidR="00AF3DE2">
        <w:t>.</w:t>
      </w:r>
      <w:proofErr w:type="gramEnd"/>
      <w:r w:rsidR="00AF3DE2">
        <w:t xml:space="preserve"> </w:t>
      </w:r>
      <w:r w:rsidRPr="00736AE4">
        <w:t xml:space="preserve"> </w:t>
      </w:r>
      <w:proofErr w:type="gramStart"/>
      <w:r w:rsidRPr="00AF3DE2">
        <w:rPr>
          <w:i/>
          <w:iCs/>
        </w:rPr>
        <w:t>Journal of Bahá’í Studies</w:t>
      </w:r>
      <w:r w:rsidRPr="00736AE4">
        <w:t>, vol. 8, no. 1, 1998, pp. 45–68.</w:t>
      </w:r>
      <w:proofErr w:type="gramEnd"/>
    </w:p>
    <w:p w:rsidR="007E5F42" w:rsidRDefault="00022AA6" w:rsidP="007E5F42">
      <w:pPr>
        <w:pStyle w:val="Bibliography"/>
      </w:pPr>
      <w:proofErr w:type="spellStart"/>
      <w:r w:rsidRPr="00736AE4">
        <w:t>Mahdavi</w:t>
      </w:r>
      <w:proofErr w:type="spellEnd"/>
      <w:r w:rsidRPr="00736AE4">
        <w:t>, Shireen</w:t>
      </w:r>
      <w:r w:rsidR="009016DD">
        <w:t xml:space="preserve">.  </w:t>
      </w:r>
      <w:proofErr w:type="gramStart"/>
      <w:r w:rsidRPr="00736AE4">
        <w:t>“Shahs, Doctors, Diplomats and Missionaries in 19th Century Iran”</w:t>
      </w:r>
      <w:r w:rsidR="007E5F42">
        <w:t>.</w:t>
      </w:r>
      <w:proofErr w:type="gramEnd"/>
      <w:r w:rsidR="007E5F42">
        <w:t xml:space="preserve">  </w:t>
      </w:r>
      <w:r w:rsidRPr="007E5F42">
        <w:rPr>
          <w:i/>
          <w:iCs/>
        </w:rPr>
        <w:t>British Journal of Middle Eastern Studies</w:t>
      </w:r>
      <w:r w:rsidRPr="00736AE4">
        <w:t>, vol. 32, no. 5, 2005, pp. 169–91</w:t>
      </w:r>
      <w:r w:rsidR="009016DD">
        <w:t>.</w:t>
      </w:r>
    </w:p>
    <w:p w:rsidR="007E5F42" w:rsidRDefault="00022AA6" w:rsidP="007E5F42">
      <w:pPr>
        <w:pStyle w:val="Bibliography"/>
      </w:pPr>
      <w:r w:rsidRPr="00736AE4">
        <w:t>Meri, Josef W.</w:t>
      </w:r>
      <w:r w:rsidR="007E5F42">
        <w:t xml:space="preserve"> </w:t>
      </w:r>
      <w:r w:rsidRPr="00736AE4">
        <w:t xml:space="preserve"> </w:t>
      </w:r>
      <w:r w:rsidRPr="007E5F42">
        <w:rPr>
          <w:i/>
          <w:iCs/>
        </w:rPr>
        <w:t>Medieval Islamic Civilization</w:t>
      </w:r>
      <w:r w:rsidR="002A4258" w:rsidRPr="007E5F42">
        <w:rPr>
          <w:i/>
          <w:iCs/>
        </w:rPr>
        <w:t xml:space="preserve">:  </w:t>
      </w:r>
      <w:r w:rsidRPr="007E5F42">
        <w:rPr>
          <w:i/>
          <w:iCs/>
        </w:rPr>
        <w:t xml:space="preserve">An </w:t>
      </w:r>
      <w:proofErr w:type="spellStart"/>
      <w:r w:rsidRPr="007E5F42">
        <w:rPr>
          <w:i/>
          <w:iCs/>
        </w:rPr>
        <w:t>Encyclopedia</w:t>
      </w:r>
      <w:proofErr w:type="spellEnd"/>
      <w:r w:rsidR="009016DD">
        <w:t xml:space="preserve">.  </w:t>
      </w:r>
      <w:proofErr w:type="gramStart"/>
      <w:r w:rsidRPr="00736AE4">
        <w:t>Routledge, 2005</w:t>
      </w:r>
      <w:r w:rsidR="009016DD">
        <w:t>.</w:t>
      </w:r>
      <w:proofErr w:type="gramEnd"/>
    </w:p>
    <w:p w:rsidR="00022AA6" w:rsidRPr="00736AE4" w:rsidRDefault="00022AA6" w:rsidP="007E5F42">
      <w:pPr>
        <w:pStyle w:val="Bibliography"/>
      </w:pPr>
      <w:proofErr w:type="spellStart"/>
      <w:proofErr w:type="gramStart"/>
      <w:r w:rsidRPr="00736AE4">
        <w:t>Mollazadeh</w:t>
      </w:r>
      <w:proofErr w:type="spellEnd"/>
      <w:r w:rsidRPr="00736AE4">
        <w:t xml:space="preserve">, Hamid, </w:t>
      </w:r>
      <w:proofErr w:type="spellStart"/>
      <w:r w:rsidRPr="00736AE4">
        <w:t>Seyyed</w:t>
      </w:r>
      <w:proofErr w:type="spellEnd"/>
      <w:r w:rsidRPr="00736AE4">
        <w:t xml:space="preserve"> Ahmad </w:t>
      </w:r>
      <w:proofErr w:type="spellStart"/>
      <w:r w:rsidRPr="00736AE4">
        <w:t>Emami</w:t>
      </w:r>
      <w:proofErr w:type="spellEnd"/>
      <w:r w:rsidRPr="00736AE4">
        <w:t xml:space="preserve">, and Hossein </w:t>
      </w:r>
      <w:proofErr w:type="spellStart"/>
      <w:r w:rsidRPr="00736AE4">
        <w:t>Hosseinzadeh</w:t>
      </w:r>
      <w:proofErr w:type="spellEnd"/>
      <w:r w:rsidR="009016DD">
        <w:t>.</w:t>
      </w:r>
      <w:proofErr w:type="gramEnd"/>
      <w:r w:rsidR="009016DD">
        <w:t xml:space="preserve">  </w:t>
      </w:r>
      <w:r w:rsidRPr="00736AE4">
        <w:t>“</w:t>
      </w:r>
      <w:proofErr w:type="spellStart"/>
      <w:r w:rsidRPr="00736AE4">
        <w:t>Razi’s</w:t>
      </w:r>
      <w:proofErr w:type="spellEnd"/>
      <w:r w:rsidR="007E5F42">
        <w:t xml:space="preserve"> </w:t>
      </w:r>
      <w:r w:rsidRPr="00736AE4">
        <w:t>Al-</w:t>
      </w:r>
      <w:proofErr w:type="spellStart"/>
      <w:r w:rsidRPr="00736AE4">
        <w:t>Hawi</w:t>
      </w:r>
      <w:proofErr w:type="spellEnd"/>
      <w:r w:rsidRPr="00736AE4">
        <w:t xml:space="preserve"> and Saﬀron (Crocus </w:t>
      </w:r>
      <w:proofErr w:type="spellStart"/>
      <w:r w:rsidRPr="00736AE4">
        <w:t>sativus</w:t>
      </w:r>
      <w:proofErr w:type="spellEnd"/>
      <w:r w:rsidRPr="00736AE4">
        <w:t>)</w:t>
      </w:r>
      <w:r w:rsidR="002A4258" w:rsidRPr="00736AE4">
        <w:t xml:space="preserve">:  </w:t>
      </w:r>
      <w:r w:rsidRPr="00736AE4">
        <w:t>A Review”</w:t>
      </w:r>
      <w:r w:rsidR="007E5F42">
        <w:t xml:space="preserve">. </w:t>
      </w:r>
      <w:r w:rsidRPr="00736AE4">
        <w:t xml:space="preserve"> </w:t>
      </w:r>
      <w:r w:rsidRPr="007E5F42">
        <w:rPr>
          <w:i/>
          <w:iCs/>
        </w:rPr>
        <w:t>Iran Journal of Basic Medical Science</w:t>
      </w:r>
      <w:r w:rsidRPr="00736AE4">
        <w:t>, vol. 18, no. 12, 2015, pp. 1153–66.</w:t>
      </w:r>
    </w:p>
    <w:p w:rsidR="00022AA6" w:rsidRPr="00736AE4" w:rsidRDefault="00022AA6" w:rsidP="007E5F42">
      <w:pPr>
        <w:pStyle w:val="Bibliography"/>
      </w:pPr>
      <w:proofErr w:type="spellStart"/>
      <w:r w:rsidRPr="00736AE4">
        <w:t>Momen</w:t>
      </w:r>
      <w:proofErr w:type="spellEnd"/>
      <w:r w:rsidRPr="00736AE4">
        <w:t xml:space="preserve">, </w:t>
      </w:r>
      <w:proofErr w:type="spellStart"/>
      <w:r w:rsidRPr="00736AE4">
        <w:t>Moojan</w:t>
      </w:r>
      <w:proofErr w:type="spellEnd"/>
      <w:r w:rsidR="009016DD">
        <w:t xml:space="preserve">.  </w:t>
      </w:r>
      <w:r w:rsidRPr="00736AE4">
        <w:t>“</w:t>
      </w:r>
      <w:proofErr w:type="spellStart"/>
      <w:r w:rsidRPr="00736AE4">
        <w:t>Cormick</w:t>
      </w:r>
      <w:proofErr w:type="spellEnd"/>
      <w:r w:rsidRPr="00736AE4">
        <w:t>, William”</w:t>
      </w:r>
      <w:r w:rsidR="007E5F42">
        <w:t xml:space="preserve">. </w:t>
      </w:r>
      <w:r w:rsidRPr="00736AE4">
        <w:t xml:space="preserve"> </w:t>
      </w:r>
      <w:r w:rsidRPr="007E5F42">
        <w:rPr>
          <w:i/>
          <w:iCs/>
        </w:rPr>
        <w:t xml:space="preserve">Encyclopaedia </w:t>
      </w:r>
      <w:proofErr w:type="spellStart"/>
      <w:r w:rsidRPr="007E5F42">
        <w:rPr>
          <w:i/>
          <w:iCs/>
        </w:rPr>
        <w:t>Iranica</w:t>
      </w:r>
      <w:proofErr w:type="spellEnd"/>
      <w:r w:rsidRPr="00736AE4">
        <w:t xml:space="preserve">, www.iranicaonline. </w:t>
      </w:r>
      <w:proofErr w:type="gramStart"/>
      <w:r w:rsidRPr="00736AE4">
        <w:t>org/articles/</w:t>
      </w:r>
      <w:proofErr w:type="spellStart"/>
      <w:r w:rsidRPr="00736AE4">
        <w:t>cormick</w:t>
      </w:r>
      <w:proofErr w:type="spellEnd"/>
      <w:r w:rsidRPr="00736AE4">
        <w:t>-</w:t>
      </w:r>
      <w:proofErr w:type="spellStart"/>
      <w:r w:rsidRPr="00736AE4">
        <w:t>william</w:t>
      </w:r>
      <w:proofErr w:type="spellEnd"/>
      <w:r w:rsidRPr="00736AE4">
        <w:t>-b</w:t>
      </w:r>
      <w:proofErr w:type="gramEnd"/>
      <w:r w:rsidRPr="00736AE4">
        <w:t>.</w:t>
      </w:r>
    </w:p>
    <w:p w:rsidR="00022AA6" w:rsidRPr="00736AE4" w:rsidRDefault="00022AA6" w:rsidP="00C773FE">
      <w:pPr>
        <w:pStyle w:val="Bibliography"/>
      </w:pPr>
      <w:proofErr w:type="spellStart"/>
      <w:r w:rsidRPr="00736AE4">
        <w:t>Niebyl</w:t>
      </w:r>
      <w:proofErr w:type="spellEnd"/>
      <w:r w:rsidRPr="00736AE4">
        <w:t>, Peter H</w:t>
      </w:r>
      <w:r w:rsidR="009016DD">
        <w:t xml:space="preserve">.  </w:t>
      </w:r>
      <w:proofErr w:type="gramStart"/>
      <w:r w:rsidRPr="00736AE4">
        <w:t>“The Non-Naturals”</w:t>
      </w:r>
      <w:r w:rsidR="00C773FE">
        <w:t>.</w:t>
      </w:r>
      <w:proofErr w:type="gramEnd"/>
      <w:r w:rsidR="00C773FE">
        <w:t xml:space="preserve"> </w:t>
      </w:r>
      <w:r w:rsidRPr="00736AE4">
        <w:t xml:space="preserve"> </w:t>
      </w:r>
      <w:r w:rsidRPr="00C773FE">
        <w:rPr>
          <w:i/>
          <w:iCs/>
        </w:rPr>
        <w:t>Bulletin of the History of Medicine</w:t>
      </w:r>
      <w:r w:rsidRPr="00736AE4">
        <w:t>, vol. 45, no. 5, 1971, pp. 486–92.</w:t>
      </w:r>
    </w:p>
    <w:p w:rsidR="00022AA6" w:rsidRPr="00736AE4" w:rsidRDefault="00022AA6" w:rsidP="005939AC">
      <w:pPr>
        <w:pStyle w:val="Bibliography"/>
      </w:pPr>
      <w:r w:rsidRPr="00736AE4">
        <w:t>Osborn, David K</w:t>
      </w:r>
      <w:r w:rsidR="009016DD">
        <w:t xml:space="preserve">.  </w:t>
      </w:r>
      <w:r w:rsidRPr="00736AE4">
        <w:t>“</w:t>
      </w:r>
      <w:proofErr w:type="gramStart"/>
      <w:r w:rsidRPr="00736AE4">
        <w:t>Al-</w:t>
      </w:r>
      <w:proofErr w:type="spellStart"/>
      <w:r w:rsidRPr="00736AE4">
        <w:t>Razi</w:t>
      </w:r>
      <w:proofErr w:type="spellEnd"/>
      <w:r w:rsidRPr="00736AE4">
        <w:t>,</w:t>
      </w:r>
      <w:proofErr w:type="gramEnd"/>
      <w:r w:rsidRPr="00736AE4">
        <w:t xml:space="preserve"> or </w:t>
      </w:r>
      <w:proofErr w:type="spellStart"/>
      <w:r w:rsidRPr="00736AE4">
        <w:t>Rhazes</w:t>
      </w:r>
      <w:proofErr w:type="spellEnd"/>
      <w:r w:rsidRPr="00736AE4">
        <w:t>”</w:t>
      </w:r>
      <w:r w:rsidR="005939AC">
        <w:t xml:space="preserve">. </w:t>
      </w:r>
      <w:r w:rsidRPr="00736AE4">
        <w:t xml:space="preserve"> </w:t>
      </w:r>
      <w:proofErr w:type="gramStart"/>
      <w:r w:rsidRPr="005939AC">
        <w:rPr>
          <w:i/>
          <w:iCs/>
        </w:rPr>
        <w:t>Greek-Medicine.net</w:t>
      </w:r>
      <w:r w:rsidRPr="00736AE4">
        <w:t>, www.greekmedicine.</w:t>
      </w:r>
      <w:proofErr w:type="gramEnd"/>
      <w:r w:rsidRPr="00736AE4">
        <w:t xml:space="preserve"> net/</w:t>
      </w:r>
      <w:proofErr w:type="spellStart"/>
      <w:r w:rsidRPr="00736AE4">
        <w:t>whos_who</w:t>
      </w:r>
      <w:proofErr w:type="spellEnd"/>
      <w:r w:rsidRPr="00736AE4">
        <w:t>/Al-Razi-Rhazes.html.</w:t>
      </w:r>
    </w:p>
    <w:p w:rsidR="00022AA6" w:rsidRPr="00736AE4" w:rsidRDefault="00022AA6" w:rsidP="005939AC">
      <w:pPr>
        <w:pStyle w:val="Bibliography"/>
      </w:pPr>
      <w:proofErr w:type="gramStart"/>
      <w:r w:rsidRPr="00736AE4">
        <w:t>“Physical Healing”</w:t>
      </w:r>
      <w:r w:rsidR="005939AC">
        <w:t>.</w:t>
      </w:r>
      <w:proofErr w:type="gramEnd"/>
      <w:r w:rsidR="005939AC">
        <w:t xml:space="preserve"> </w:t>
      </w:r>
      <w:r w:rsidRPr="00736AE4">
        <w:t xml:space="preserve"> </w:t>
      </w:r>
      <w:r w:rsidRPr="005939AC">
        <w:rPr>
          <w:i/>
          <w:iCs/>
        </w:rPr>
        <w:t>Star of the West</w:t>
      </w:r>
      <w:r w:rsidRPr="00736AE4">
        <w:t>, vol. 13, no. 9, Dec. 1922</w:t>
      </w:r>
      <w:r w:rsidR="009016DD">
        <w:t xml:space="preserve">.  </w:t>
      </w:r>
      <w:r w:rsidRPr="00736AE4">
        <w:t>George Ronald, Oxford, 1978, 252.</w:t>
      </w:r>
    </w:p>
    <w:p w:rsidR="00022AA6" w:rsidRPr="00736AE4" w:rsidRDefault="00022AA6" w:rsidP="005939AC">
      <w:pPr>
        <w:pStyle w:val="Bibliography"/>
      </w:pPr>
      <w:proofErr w:type="spellStart"/>
      <w:r w:rsidRPr="00736AE4">
        <w:t>Pourahmad</w:t>
      </w:r>
      <w:proofErr w:type="spellEnd"/>
      <w:r w:rsidRPr="00736AE4">
        <w:t>, Jalal</w:t>
      </w:r>
      <w:r w:rsidR="009016DD">
        <w:t xml:space="preserve">.  </w:t>
      </w:r>
      <w:proofErr w:type="gramStart"/>
      <w:r w:rsidRPr="00736AE4">
        <w:t>“History of Medical Sciences in Iran”</w:t>
      </w:r>
      <w:r w:rsidR="005939AC">
        <w:t>.</w:t>
      </w:r>
      <w:proofErr w:type="gramEnd"/>
      <w:r w:rsidR="005939AC">
        <w:t xml:space="preserve"> </w:t>
      </w:r>
      <w:r w:rsidRPr="00736AE4">
        <w:t xml:space="preserve"> </w:t>
      </w:r>
      <w:r w:rsidRPr="005939AC">
        <w:rPr>
          <w:i/>
          <w:iCs/>
        </w:rPr>
        <w:t>Iranian Journal of Pharmaceutical Research</w:t>
      </w:r>
      <w:r w:rsidRPr="00736AE4">
        <w:t>, vol. 7, no. 2, 2008, pp. 93–99.</w:t>
      </w:r>
    </w:p>
    <w:p w:rsidR="00022AA6" w:rsidRPr="00736AE4" w:rsidRDefault="00022AA6" w:rsidP="00D21102">
      <w:pPr>
        <w:pStyle w:val="Bibliography"/>
      </w:pPr>
      <w:proofErr w:type="gramStart"/>
      <w:r w:rsidRPr="00736AE4">
        <w:t>Research Department of the Universal House of Justice</w:t>
      </w:r>
      <w:r w:rsidR="009016DD">
        <w:t>.</w:t>
      </w:r>
      <w:proofErr w:type="gramEnd"/>
      <w:r w:rsidR="009016DD">
        <w:t xml:space="preserve">  </w:t>
      </w:r>
      <w:proofErr w:type="gramStart"/>
      <w:r w:rsidRPr="00736AE4">
        <w:t>“Your email letter of 3 September 2016”</w:t>
      </w:r>
      <w:r w:rsidR="00D21102">
        <w:t>.</w:t>
      </w:r>
      <w:proofErr w:type="gramEnd"/>
      <w:r w:rsidR="00D21102">
        <w:t xml:space="preserve"> </w:t>
      </w:r>
      <w:r w:rsidRPr="00736AE4">
        <w:t xml:space="preserve"> Received by </w:t>
      </w:r>
      <w:proofErr w:type="spellStart"/>
      <w:r w:rsidRPr="00736AE4">
        <w:t>Misagh</w:t>
      </w:r>
      <w:proofErr w:type="spellEnd"/>
      <w:r w:rsidRPr="00736AE4">
        <w:t xml:space="preserve"> </w:t>
      </w:r>
      <w:proofErr w:type="spellStart"/>
      <w:r w:rsidRPr="00736AE4">
        <w:t>Ziaei</w:t>
      </w:r>
      <w:proofErr w:type="spellEnd"/>
      <w:r w:rsidRPr="00736AE4">
        <w:t>, 25 Oct. 2016.</w:t>
      </w:r>
    </w:p>
    <w:p w:rsidR="00D21102" w:rsidRDefault="00022AA6" w:rsidP="00D21102">
      <w:pPr>
        <w:pStyle w:val="Bibliography"/>
        <w:rPr>
          <w:lang w:val="de-DE"/>
        </w:rPr>
      </w:pPr>
      <w:r w:rsidRPr="00736AE4">
        <w:t>Shoghi Eﬀendi</w:t>
      </w:r>
      <w:r w:rsidR="009016DD">
        <w:t xml:space="preserve">.  </w:t>
      </w:r>
      <w:proofErr w:type="gramStart"/>
      <w:r w:rsidRPr="00D21102">
        <w:rPr>
          <w:i/>
          <w:iCs/>
        </w:rPr>
        <w:t>The Light of Divine Guidance</w:t>
      </w:r>
      <w:r w:rsidR="009016DD">
        <w:t>.</w:t>
      </w:r>
      <w:proofErr w:type="gramEnd"/>
      <w:r w:rsidR="009016DD">
        <w:t xml:space="preserve">  </w:t>
      </w:r>
      <w:r w:rsidRPr="009016DD">
        <w:rPr>
          <w:lang w:val="de-DE"/>
        </w:rPr>
        <w:t>Vol. 2, Bahá’í-Verlag, 1985</w:t>
      </w:r>
      <w:r w:rsidR="009016DD" w:rsidRPr="009016DD">
        <w:rPr>
          <w:lang w:val="de-DE"/>
        </w:rPr>
        <w:t>.</w:t>
      </w:r>
    </w:p>
    <w:p w:rsidR="00022AA6" w:rsidRPr="00736AE4" w:rsidRDefault="00022AA6" w:rsidP="00D21102">
      <w:pPr>
        <w:pStyle w:val="Bibliography"/>
      </w:pPr>
      <w:r w:rsidRPr="009016DD">
        <w:rPr>
          <w:lang w:val="de-DE"/>
        </w:rPr>
        <w:t xml:space="preserve">Steingass, Francis J. </w:t>
      </w:r>
      <w:r w:rsidR="009016DD" w:rsidRPr="009016DD">
        <w:rPr>
          <w:lang w:val="de-DE"/>
        </w:rPr>
        <w:t xml:space="preserve"> </w:t>
      </w:r>
      <w:proofErr w:type="gramStart"/>
      <w:r w:rsidRPr="00D21102">
        <w:rPr>
          <w:i/>
          <w:iCs/>
        </w:rPr>
        <w:t>Arabic-English Dictionary</w:t>
      </w:r>
      <w:r w:rsidRPr="00736AE4">
        <w:t>.</w:t>
      </w:r>
      <w:proofErr w:type="gramEnd"/>
      <w:r w:rsidRPr="00736AE4">
        <w:t xml:space="preserve"> </w:t>
      </w:r>
      <w:r w:rsidR="009016DD">
        <w:t xml:space="preserve"> </w:t>
      </w:r>
      <w:proofErr w:type="gramStart"/>
      <w:r w:rsidRPr="00736AE4">
        <w:t>Asian Educational Services,</w:t>
      </w:r>
      <w:r w:rsidR="00D21102">
        <w:t xml:space="preserve"> </w:t>
      </w:r>
      <w:r w:rsidRPr="00736AE4">
        <w:t>1993.</w:t>
      </w:r>
      <w:proofErr w:type="gramEnd"/>
    </w:p>
    <w:p w:rsidR="00022AA6" w:rsidRPr="00736AE4" w:rsidRDefault="00022AA6" w:rsidP="00736AE4">
      <w:pPr>
        <w:pStyle w:val="Bibliography"/>
      </w:pPr>
      <w:proofErr w:type="spellStart"/>
      <w:proofErr w:type="gramStart"/>
      <w:r w:rsidRPr="00736AE4">
        <w:t>Syeda</w:t>
      </w:r>
      <w:proofErr w:type="spellEnd"/>
      <w:r w:rsidRPr="00736AE4">
        <w:t xml:space="preserve">, </w:t>
      </w:r>
      <w:proofErr w:type="spellStart"/>
      <w:r w:rsidRPr="00736AE4">
        <w:t>Ahmedi</w:t>
      </w:r>
      <w:proofErr w:type="spellEnd"/>
      <w:r w:rsidRPr="00736AE4">
        <w:t xml:space="preserve">, </w:t>
      </w:r>
      <w:proofErr w:type="spellStart"/>
      <w:r w:rsidRPr="00736AE4">
        <w:t>Sanjiv</w:t>
      </w:r>
      <w:proofErr w:type="spellEnd"/>
      <w:r w:rsidRPr="00736AE4">
        <w:t xml:space="preserve"> </w:t>
      </w:r>
      <w:proofErr w:type="spellStart"/>
      <w:r w:rsidRPr="00736AE4">
        <w:t>Rughooputh</w:t>
      </w:r>
      <w:proofErr w:type="spellEnd"/>
      <w:r w:rsidRPr="00736AE4">
        <w:t>, and Pamela Greenwell</w:t>
      </w:r>
      <w:r w:rsidR="009016DD">
        <w:t>.</w:t>
      </w:r>
      <w:proofErr w:type="gramEnd"/>
      <w:r w:rsidR="009016DD">
        <w:t xml:space="preserve">  </w:t>
      </w:r>
      <w:r w:rsidRPr="00736AE4">
        <w:t>“The Unani System of Medicine</w:t>
      </w:r>
      <w:r w:rsidR="002A4258" w:rsidRPr="00736AE4">
        <w:t xml:space="preserve">:  </w:t>
      </w:r>
      <w:r w:rsidRPr="00736AE4">
        <w:t xml:space="preserve">Does it </w:t>
      </w:r>
      <w:proofErr w:type="gramStart"/>
      <w:r w:rsidRPr="00736AE4">
        <w:t>Have</w:t>
      </w:r>
      <w:proofErr w:type="gramEnd"/>
      <w:r w:rsidRPr="00736AE4">
        <w:t xml:space="preserve"> a Scientiﬁc Basis?”</w:t>
      </w:r>
      <w:r w:rsidR="00D21102">
        <w:t xml:space="preserve"> </w:t>
      </w:r>
      <w:r w:rsidRPr="00736AE4">
        <w:t xml:space="preserve"> </w:t>
      </w:r>
      <w:r w:rsidRPr="00D21102">
        <w:rPr>
          <w:i/>
          <w:iCs/>
        </w:rPr>
        <w:t>The Biomedical Scientist</w:t>
      </w:r>
      <w:r w:rsidRPr="00736AE4">
        <w:t>, vol. 48, no. 9, 2004, pp. 971–72.</w:t>
      </w:r>
    </w:p>
    <w:p w:rsidR="00022AA6" w:rsidRPr="00736AE4" w:rsidRDefault="00022AA6" w:rsidP="00736AE4">
      <w:pPr>
        <w:pStyle w:val="Bibliography"/>
      </w:pPr>
      <w:proofErr w:type="spellStart"/>
      <w:r w:rsidRPr="009016DD">
        <w:rPr>
          <w:lang w:val="es-ES_tradnl"/>
        </w:rPr>
        <w:t>Verotta</w:t>
      </w:r>
      <w:proofErr w:type="spellEnd"/>
      <w:r w:rsidRPr="009016DD">
        <w:rPr>
          <w:lang w:val="es-ES_tradnl"/>
        </w:rPr>
        <w:t xml:space="preserve">, </w:t>
      </w:r>
      <w:proofErr w:type="spellStart"/>
      <w:r w:rsidRPr="009016DD">
        <w:rPr>
          <w:lang w:val="es-ES_tradnl"/>
        </w:rPr>
        <w:t>Luisella</w:t>
      </w:r>
      <w:proofErr w:type="spellEnd"/>
      <w:r w:rsidRPr="009016DD">
        <w:rPr>
          <w:lang w:val="es-ES_tradnl"/>
        </w:rPr>
        <w:t xml:space="preserve">, </w:t>
      </w:r>
      <w:proofErr w:type="spellStart"/>
      <w:r w:rsidRPr="009016DD">
        <w:rPr>
          <w:lang w:val="es-ES_tradnl"/>
        </w:rPr>
        <w:t>Maria</w:t>
      </w:r>
      <w:proofErr w:type="spellEnd"/>
      <w:r w:rsidRPr="009016DD">
        <w:rPr>
          <w:lang w:val="es-ES_tradnl"/>
        </w:rPr>
        <w:t xml:space="preserve"> </w:t>
      </w:r>
      <w:proofErr w:type="spellStart"/>
      <w:r w:rsidRPr="009016DD">
        <w:rPr>
          <w:lang w:val="es-ES_tradnl"/>
        </w:rPr>
        <w:t>Pia</w:t>
      </w:r>
      <w:proofErr w:type="spellEnd"/>
      <w:r w:rsidRPr="009016DD">
        <w:rPr>
          <w:lang w:val="es-ES_tradnl"/>
        </w:rPr>
        <w:t xml:space="preserve"> Macchi, and </w:t>
      </w:r>
      <w:proofErr w:type="spellStart"/>
      <w:r w:rsidRPr="009016DD">
        <w:rPr>
          <w:lang w:val="es-ES_tradnl"/>
        </w:rPr>
        <w:t>Padma</w:t>
      </w:r>
      <w:proofErr w:type="spellEnd"/>
      <w:r w:rsidRPr="009016DD">
        <w:rPr>
          <w:lang w:val="es-ES_tradnl"/>
        </w:rPr>
        <w:t xml:space="preserve"> </w:t>
      </w:r>
      <w:proofErr w:type="spellStart"/>
      <w:r w:rsidRPr="009016DD">
        <w:rPr>
          <w:lang w:val="es-ES_tradnl"/>
        </w:rPr>
        <w:t>Venkatasubramanian</w:t>
      </w:r>
      <w:proofErr w:type="spellEnd"/>
      <w:r w:rsidR="009016DD" w:rsidRPr="009016DD">
        <w:rPr>
          <w:lang w:val="es-ES_tradnl"/>
        </w:rPr>
        <w:t xml:space="preserve">.  </w:t>
      </w:r>
      <w:r w:rsidRPr="00D21102">
        <w:rPr>
          <w:i/>
          <w:iCs/>
        </w:rPr>
        <w:t>Connecting Indian Wisdom and Western Science</w:t>
      </w:r>
      <w:r w:rsidR="002A4258" w:rsidRPr="00D21102">
        <w:rPr>
          <w:i/>
          <w:iCs/>
        </w:rPr>
        <w:t xml:space="preserve">:  </w:t>
      </w:r>
      <w:r w:rsidRPr="00D21102">
        <w:rPr>
          <w:i/>
          <w:iCs/>
        </w:rPr>
        <w:t>Plant Usage for Nutrition and Health</w:t>
      </w:r>
      <w:r w:rsidR="002A4258" w:rsidRPr="00D21102">
        <w:rPr>
          <w:i/>
          <w:iCs/>
        </w:rPr>
        <w:t xml:space="preserve">:  </w:t>
      </w:r>
      <w:r w:rsidRPr="00D21102">
        <w:rPr>
          <w:i/>
          <w:iCs/>
        </w:rPr>
        <w:t>Traditional Herbal Medicines for Modern Times</w:t>
      </w:r>
      <w:r w:rsidR="009016DD">
        <w:t xml:space="preserve">.  </w:t>
      </w:r>
      <w:proofErr w:type="gramStart"/>
      <w:r w:rsidRPr="00736AE4">
        <w:t>CRC Press, 2015.</w:t>
      </w:r>
      <w:proofErr w:type="gramEnd"/>
    </w:p>
    <w:p w:rsidR="00022AA6" w:rsidRPr="00736AE4" w:rsidRDefault="00022AA6" w:rsidP="00736AE4">
      <w:pPr>
        <w:pStyle w:val="Bibliography"/>
      </w:pPr>
      <w:proofErr w:type="spellStart"/>
      <w:r w:rsidRPr="00736AE4">
        <w:t>Wehr</w:t>
      </w:r>
      <w:proofErr w:type="spellEnd"/>
      <w:r w:rsidRPr="00736AE4">
        <w:t>, Hans</w:t>
      </w:r>
      <w:r w:rsidR="009016DD">
        <w:t xml:space="preserve">.  </w:t>
      </w:r>
      <w:bookmarkStart w:id="0" w:name="_GoBack"/>
      <w:proofErr w:type="gramStart"/>
      <w:r w:rsidRPr="00D21102">
        <w:rPr>
          <w:i/>
          <w:iCs/>
        </w:rPr>
        <w:t>A Dictionary of Modern Written Arabic</w:t>
      </w:r>
      <w:bookmarkEnd w:id="0"/>
      <w:r w:rsidR="009016DD">
        <w:t>.</w:t>
      </w:r>
      <w:proofErr w:type="gramEnd"/>
      <w:r w:rsidR="009016DD">
        <w:t xml:space="preserve">  </w:t>
      </w:r>
      <w:r w:rsidRPr="00736AE4">
        <w:t xml:space="preserve">Otto </w:t>
      </w:r>
      <w:proofErr w:type="spellStart"/>
      <w:r w:rsidRPr="00736AE4">
        <w:t>Harrassowitz</w:t>
      </w:r>
      <w:proofErr w:type="spellEnd"/>
      <w:r w:rsidRPr="00736AE4">
        <w:t xml:space="preserve"> </w:t>
      </w:r>
      <w:proofErr w:type="spellStart"/>
      <w:r w:rsidRPr="00736AE4">
        <w:t>Verlag</w:t>
      </w:r>
      <w:proofErr w:type="spellEnd"/>
      <w:r w:rsidRPr="00736AE4">
        <w:t>, 1979.</w:t>
      </w:r>
    </w:p>
    <w:p w:rsidR="00637BA5" w:rsidRPr="00022AA6" w:rsidRDefault="00637BA5" w:rsidP="001827E3"/>
    <w:sectPr w:rsidR="00637BA5" w:rsidRPr="00022AA6" w:rsidSect="00321CF2">
      <w:footerReference w:type="even" r:id="rId10"/>
      <w:footerReference w:type="default" r:id="rId11"/>
      <w:footerReference w:type="first" r:id="rId12"/>
      <w:pgSz w:w="11907" w:h="16839" w:code="9"/>
      <w:pgMar w:top="720" w:right="720" w:bottom="720" w:left="720" w:header="720" w:footer="567" w:gutter="357"/>
      <w:pgNumType w:start="67"/>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F21" w:rsidRDefault="009F5F21" w:rsidP="00E41271">
      <w:r>
        <w:separator/>
      </w:r>
    </w:p>
  </w:endnote>
  <w:endnote w:type="continuationSeparator" w:id="0">
    <w:p w:rsidR="009F5F21" w:rsidRDefault="009F5F21" w:rsidP="00E4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CF2" w:rsidRDefault="00321CF2" w:rsidP="00321CF2">
    <w:pPr>
      <w:pStyle w:val="Footer"/>
      <w:jc w:val="center"/>
    </w:pPr>
    <w:r>
      <w:fldChar w:fldCharType="begin"/>
    </w:r>
    <w:r>
      <w:instrText xml:space="preserve"> Page </w:instrText>
    </w:r>
    <w:r>
      <w:fldChar w:fldCharType="separate"/>
    </w:r>
    <w:r w:rsidR="00D21102">
      <w:rPr>
        <w:noProof/>
      </w:rPr>
      <w:t>82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CF2" w:rsidRDefault="00321CF2" w:rsidP="00321CF2">
    <w:pPr>
      <w:pStyle w:val="Footer"/>
      <w:jc w:val="center"/>
    </w:pPr>
    <w:r>
      <w:fldChar w:fldCharType="begin"/>
    </w:r>
    <w:r>
      <w:instrText xml:space="preserve"> Page </w:instrText>
    </w:r>
    <w:r>
      <w:fldChar w:fldCharType="separate"/>
    </w:r>
    <w:r w:rsidR="005939AC">
      <w:rPr>
        <w:noProof/>
      </w:rPr>
      <w:t>79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AA6" w:rsidRDefault="00321CF2" w:rsidP="00321CF2">
    <w:pPr>
      <w:pStyle w:val="Footer"/>
      <w:jc w:val="center"/>
    </w:pPr>
    <w:r>
      <w:fldChar w:fldCharType="begin"/>
    </w:r>
    <w:r>
      <w:instrText xml:space="preserve"> Page </w:instrText>
    </w:r>
    <w:r>
      <w:fldChar w:fldCharType="separate"/>
    </w:r>
    <w:r w:rsidR="009C1030">
      <w:rPr>
        <w:noProof/>
      </w:rPr>
      <w:t>67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F21" w:rsidRDefault="009F5F21" w:rsidP="00E41271">
      <w:r>
        <w:separator/>
      </w:r>
    </w:p>
  </w:footnote>
  <w:footnote w:type="continuationSeparator" w:id="0">
    <w:p w:rsidR="009F5F21" w:rsidRDefault="009F5F21" w:rsidP="00E41271">
      <w:r>
        <w:continuationSeparator/>
      </w:r>
    </w:p>
  </w:footnote>
  <w:footnote w:id="1">
    <w:p w:rsidR="005C3DEB" w:rsidRPr="007016F9" w:rsidRDefault="005C3DEB" w:rsidP="007016F9">
      <w:pPr>
        <w:pStyle w:val="FootnoteText"/>
      </w:pPr>
      <w:r>
        <w:rPr>
          <w:rStyle w:val="FootnoteReference"/>
        </w:rPr>
        <w:footnoteRef/>
      </w:r>
      <w:r>
        <w:tab/>
      </w:r>
      <w:r w:rsidRPr="00022AA6">
        <w:t xml:space="preserve">I am extremely grateful to Dr </w:t>
      </w:r>
      <w:proofErr w:type="spellStart"/>
      <w:r w:rsidRPr="00022AA6">
        <w:t>Khazeh</w:t>
      </w:r>
      <w:proofErr w:type="spellEnd"/>
      <w:r w:rsidRPr="00022AA6">
        <w:t xml:space="preserve"> </w:t>
      </w:r>
      <w:proofErr w:type="spellStart"/>
      <w:r w:rsidRPr="00022AA6">
        <w:t>Fananapazir</w:t>
      </w:r>
      <w:proofErr w:type="spellEnd"/>
      <w:r w:rsidRPr="00022AA6">
        <w:t xml:space="preserve"> and Dr Stephen </w:t>
      </w:r>
      <w:proofErr w:type="spellStart"/>
      <w:r w:rsidRPr="00022AA6">
        <w:t>Lambden</w:t>
      </w:r>
      <w:proofErr w:type="spellEnd"/>
      <w:r w:rsidRPr="00022AA6">
        <w:t xml:space="preserve"> for their masterful</w:t>
      </w:r>
      <w:r>
        <w:t xml:space="preserve"> </w:t>
      </w:r>
      <w:r w:rsidRPr="00022AA6">
        <w:t>translation</w:t>
      </w:r>
      <w:r>
        <w:t xml:space="preserve"> </w:t>
      </w:r>
      <w:r w:rsidRPr="00022AA6">
        <w:t>of the Law</w:t>
      </w:r>
      <w:r w:rsidRPr="003D0280">
        <w:rPr>
          <w:sz w:val="20"/>
        </w:rPr>
        <w:t>ḥ</w:t>
      </w:r>
      <w:r w:rsidRPr="00022AA6">
        <w:t>-</w:t>
      </w:r>
      <w:proofErr w:type="spellStart"/>
      <w:r w:rsidRPr="00022AA6">
        <w:t>i</w:t>
      </w:r>
      <w:proofErr w:type="spellEnd"/>
      <w:r w:rsidRPr="00022AA6">
        <w:t>-</w:t>
      </w:r>
      <w:proofErr w:type="spellStart"/>
      <w:r w:rsidRPr="00E31A27">
        <w:rPr>
          <w:rFonts w:eastAsia="PMingLiU"/>
          <w:lang w:eastAsia="zh-TW"/>
        </w:rPr>
        <w:t>Ṭibb</w:t>
      </w:r>
      <w:proofErr w:type="spellEnd"/>
      <w:r w:rsidRPr="00022AA6">
        <w:t xml:space="preserve"> and for their extensive research into this tablet. </w:t>
      </w:r>
      <w:r w:rsidR="007016F9">
        <w:t xml:space="preserve"> </w:t>
      </w:r>
      <w:r w:rsidRPr="00022AA6">
        <w:t>My deepest thanks go out to my family (</w:t>
      </w:r>
      <w:proofErr w:type="spellStart"/>
      <w:r w:rsidRPr="00022AA6">
        <w:t>Fakhrodin</w:t>
      </w:r>
      <w:proofErr w:type="spellEnd"/>
      <w:r w:rsidRPr="00022AA6">
        <w:t xml:space="preserve"> </w:t>
      </w:r>
      <w:proofErr w:type="spellStart"/>
      <w:r w:rsidRPr="00022AA6">
        <w:t>Ziaei</w:t>
      </w:r>
      <w:proofErr w:type="spellEnd"/>
      <w:r w:rsidRPr="00022AA6">
        <w:t xml:space="preserve">, Zahra </w:t>
      </w:r>
      <w:proofErr w:type="spellStart"/>
      <w:r w:rsidRPr="00022AA6">
        <w:t>Pourjafar-Ziaei</w:t>
      </w:r>
      <w:proofErr w:type="spellEnd"/>
      <w:r w:rsidRPr="00022AA6">
        <w:t xml:space="preserve">, </w:t>
      </w:r>
      <w:proofErr w:type="spellStart"/>
      <w:r w:rsidRPr="00022AA6">
        <w:t>Mahtab</w:t>
      </w:r>
      <w:proofErr w:type="spellEnd"/>
      <w:r w:rsidRPr="00022AA6">
        <w:t xml:space="preserve"> </w:t>
      </w:r>
      <w:proofErr w:type="spellStart"/>
      <w:r w:rsidRPr="00022AA6">
        <w:t>Ziaei</w:t>
      </w:r>
      <w:proofErr w:type="spellEnd"/>
      <w:r w:rsidRPr="00022AA6">
        <w:t xml:space="preserve">, Michael </w:t>
      </w:r>
      <w:proofErr w:type="spellStart"/>
      <w:r w:rsidRPr="00022AA6">
        <w:t>Sabet</w:t>
      </w:r>
      <w:proofErr w:type="spellEnd"/>
      <w:r w:rsidRPr="00022AA6">
        <w:t xml:space="preserve">, and Neda </w:t>
      </w:r>
      <w:proofErr w:type="spellStart"/>
      <w:r w:rsidRPr="00022AA6">
        <w:t>Ziaei</w:t>
      </w:r>
      <w:proofErr w:type="spellEnd"/>
      <w:r w:rsidRPr="00022AA6">
        <w:t xml:space="preserve">) and my wife Jamal Gabriel, all of whom assisted with this manuscript and served as a sounding-board for ideas. </w:t>
      </w:r>
      <w:r w:rsidR="007016F9">
        <w:t xml:space="preserve"> </w:t>
      </w:r>
      <w:r w:rsidRPr="00022AA6">
        <w:t xml:space="preserve">I dedicate this paper to the memory of Dr </w:t>
      </w:r>
      <w:r w:rsidR="007016F9" w:rsidRPr="00022AA6">
        <w:t>Raḥmatu’lláh</w:t>
      </w:r>
      <w:r w:rsidRPr="00022AA6">
        <w:t xml:space="preserve"> </w:t>
      </w:r>
      <w:r w:rsidR="007016F9" w:rsidRPr="00022AA6">
        <w:t>Muhájir</w:t>
      </w:r>
      <w:r w:rsidRPr="00022AA6">
        <w:t xml:space="preserve">, whose professional and spiritual achievements are a constant source of inspiration to </w:t>
      </w:r>
      <w:proofErr w:type="gramStart"/>
      <w:r w:rsidRPr="00022AA6">
        <w:t>me</w:t>
      </w:r>
      <w:proofErr w:type="gramEnd"/>
      <w:r w:rsidRPr="00022AA6">
        <w:t>.</w:t>
      </w:r>
      <w:r w:rsidR="007016F9">
        <w:t>—Transcription has been added to this paper. (M.W.T.)</w:t>
      </w:r>
    </w:p>
  </w:footnote>
  <w:footnote w:id="2">
    <w:p w:rsidR="005C3DEB" w:rsidRDefault="005C3DEB">
      <w:pPr>
        <w:pStyle w:val="FootnoteText"/>
      </w:pPr>
      <w:r>
        <w:rPr>
          <w:rStyle w:val="FootnoteReference"/>
        </w:rPr>
        <w:t>*</w:t>
      </w:r>
      <w:r>
        <w:tab/>
      </w:r>
      <w:proofErr w:type="spellStart"/>
      <w:r w:rsidRPr="00022AA6">
        <w:t>Ziaei</w:t>
      </w:r>
      <w:proofErr w:type="spellEnd"/>
      <w:r w:rsidRPr="00022AA6">
        <w:t>, M.</w:t>
      </w:r>
      <w:r>
        <w:t xml:space="preserve"> </w:t>
      </w:r>
      <w:r w:rsidRPr="00022AA6">
        <w:t xml:space="preserve"> “The </w:t>
      </w:r>
      <w:proofErr w:type="spellStart"/>
      <w:r w:rsidRPr="00022AA6">
        <w:t>Lawh-</w:t>
      </w:r>
      <w:r>
        <w:t>i</w:t>
      </w:r>
      <w:r w:rsidRPr="00022AA6">
        <w:t>-Tibb</w:t>
      </w:r>
      <w:proofErr w:type="spellEnd"/>
      <w:r w:rsidRPr="00022AA6">
        <w:t xml:space="preserve"> (Tablet to the Physician)</w:t>
      </w:r>
      <w:r w:rsidR="002A4258">
        <w:t xml:space="preserve">:  </w:t>
      </w:r>
      <w:r w:rsidRPr="00022AA6">
        <w:t xml:space="preserve">Beyond Health Maxims”. </w:t>
      </w:r>
      <w:r>
        <w:t xml:space="preserve"> </w:t>
      </w:r>
      <w:proofErr w:type="gramStart"/>
      <w:r w:rsidRPr="00022AA6">
        <w:rPr>
          <w:i/>
        </w:rPr>
        <w:t>The Journal of Bahá’í Studies</w:t>
      </w:r>
      <w:r w:rsidRPr="00022AA6">
        <w:t>, vol. 29, no. 3, Sept. 2019, pp. 67-82</w:t>
      </w:r>
      <w:r>
        <w:t>.</w:t>
      </w:r>
      <w:proofErr w:type="gramEnd"/>
    </w:p>
  </w:footnote>
  <w:footnote w:id="3">
    <w:p w:rsidR="007016F9" w:rsidRDefault="007016F9">
      <w:pPr>
        <w:pStyle w:val="FootnoteText"/>
      </w:pPr>
      <w:r>
        <w:rPr>
          <w:rStyle w:val="FootnoteReference"/>
        </w:rPr>
        <w:footnoteRef/>
      </w:r>
      <w:r>
        <w:tab/>
      </w:r>
      <w:r w:rsidRPr="00022AA6">
        <w:t>See the Department of the Secretariat’s letter regarding the diﬀerence between authorized English translations of the Bahá’í HOLY Writings by a committee at the Bahá’í World Centre and provisional translations undertaken by individuals for personal or scholarly use.</w:t>
      </w:r>
    </w:p>
  </w:footnote>
  <w:footnote w:id="4">
    <w:p w:rsidR="00BF28C0" w:rsidRPr="00BF28C0" w:rsidRDefault="00BF28C0" w:rsidP="00BF28C0">
      <w:pPr>
        <w:pStyle w:val="FootnoteText"/>
        <w:rPr>
          <w:lang w:val="en-US"/>
        </w:rPr>
      </w:pPr>
      <w:r>
        <w:rPr>
          <w:rStyle w:val="FootnoteReference"/>
        </w:rPr>
        <w:footnoteRef/>
      </w:r>
      <w:r>
        <w:tab/>
      </w:r>
      <w:r w:rsidRPr="00022AA6">
        <w:t xml:space="preserve">See Bahá’u’lláh, </w:t>
      </w:r>
      <w:proofErr w:type="spellStart"/>
      <w:r w:rsidRPr="00980DC9">
        <w:rPr>
          <w:i/>
        </w:rPr>
        <w:t>Majmu</w:t>
      </w:r>
      <w:r>
        <w:rPr>
          <w:i/>
        </w:rPr>
        <w:t>‘</w:t>
      </w:r>
      <w:r w:rsidRPr="00980DC9">
        <w:rPr>
          <w:i/>
        </w:rPr>
        <w:t>a-yi</w:t>
      </w:r>
      <w:proofErr w:type="spellEnd"/>
      <w:r w:rsidRPr="00980DC9">
        <w:rPr>
          <w:i/>
        </w:rPr>
        <w:t xml:space="preserve"> al-</w:t>
      </w:r>
      <w:proofErr w:type="spellStart"/>
      <w:r w:rsidRPr="00980DC9">
        <w:rPr>
          <w:i/>
        </w:rPr>
        <w:t>wah</w:t>
      </w:r>
      <w:proofErr w:type="spellEnd"/>
      <w:r w:rsidRPr="00980DC9">
        <w:rPr>
          <w:i/>
        </w:rPr>
        <w:t>-</w:t>
      </w:r>
      <w:proofErr w:type="spellStart"/>
      <w:r w:rsidRPr="00980DC9">
        <w:rPr>
          <w:i/>
        </w:rPr>
        <w:t>i</w:t>
      </w:r>
      <w:proofErr w:type="spellEnd"/>
      <w:r w:rsidRPr="00980DC9">
        <w:rPr>
          <w:i/>
        </w:rPr>
        <w:t xml:space="preserve"> </w:t>
      </w:r>
      <w:proofErr w:type="spellStart"/>
      <w:r w:rsidRPr="00980DC9">
        <w:rPr>
          <w:i/>
        </w:rPr>
        <w:t>mubaraka</w:t>
      </w:r>
      <w:proofErr w:type="spellEnd"/>
      <w:r w:rsidRPr="00022AA6">
        <w:t xml:space="preserve">, </w:t>
      </w:r>
      <w:r>
        <w:t xml:space="preserve">pp. </w:t>
      </w:r>
      <w:r w:rsidRPr="00022AA6">
        <w:t>222–26.</w:t>
      </w:r>
    </w:p>
  </w:footnote>
  <w:footnote w:id="5">
    <w:p w:rsidR="00477C67" w:rsidRPr="00477C67" w:rsidRDefault="00477C67">
      <w:pPr>
        <w:pStyle w:val="FootnoteText"/>
        <w:rPr>
          <w:lang w:val="en-US"/>
        </w:rPr>
      </w:pPr>
      <w:r>
        <w:rPr>
          <w:rStyle w:val="FootnoteReference"/>
        </w:rPr>
        <w:footnoteRef/>
      </w:r>
      <w:r>
        <w:tab/>
      </w:r>
      <w:r w:rsidRPr="00022AA6">
        <w:t>Some sources describe ﬁve or seven external factors, but most sources agree on six (</w:t>
      </w:r>
      <w:proofErr w:type="spellStart"/>
      <w:r w:rsidRPr="00022AA6">
        <w:t>Jarcho</w:t>
      </w:r>
      <w:proofErr w:type="spellEnd"/>
      <w:r w:rsidRPr="00022AA6">
        <w:t xml:space="preserve"> 372; Berryman 515). </w:t>
      </w:r>
      <w:r w:rsidR="00B97B9E">
        <w:t xml:space="preserve"> </w:t>
      </w:r>
      <w:r w:rsidRPr="00022AA6">
        <w:t>Galen originally described six “non-natural” inﬂuences on health (</w:t>
      </w:r>
      <w:proofErr w:type="spellStart"/>
      <w:r w:rsidRPr="00022AA6">
        <w:t>Niebyl</w:t>
      </w:r>
      <w:proofErr w:type="spellEnd"/>
      <w:r w:rsidRPr="00022AA6">
        <w:t xml:space="preserve"> 486).</w:t>
      </w:r>
    </w:p>
  </w:footnote>
  <w:footnote w:id="6">
    <w:p w:rsidR="00B97B9E" w:rsidRPr="00B97B9E" w:rsidRDefault="00B97B9E" w:rsidP="00B97B9E">
      <w:pPr>
        <w:pStyle w:val="FootnoteText"/>
        <w:rPr>
          <w:lang w:val="en-US"/>
        </w:rPr>
      </w:pPr>
      <w:r>
        <w:rPr>
          <w:rStyle w:val="FootnoteReference"/>
        </w:rPr>
        <w:t>*</w:t>
      </w:r>
      <w:r>
        <w:tab/>
        <w:t>“</w:t>
      </w:r>
      <w:proofErr w:type="gramStart"/>
      <w:r w:rsidRPr="00B97B9E">
        <w:t>polytechnic</w:t>
      </w:r>
      <w:proofErr w:type="gramEnd"/>
      <w:r w:rsidRPr="00B97B9E">
        <w:t xml:space="preserve"> college</w:t>
      </w:r>
      <w:r>
        <w:t>”.</w:t>
      </w:r>
    </w:p>
  </w:footnote>
  <w:footnote w:id="7">
    <w:p w:rsidR="00321CF2" w:rsidRPr="00321CF2" w:rsidRDefault="00321CF2">
      <w:pPr>
        <w:pStyle w:val="FootnoteText"/>
        <w:rPr>
          <w:lang w:val="en-US"/>
        </w:rPr>
      </w:pPr>
      <w:r>
        <w:rPr>
          <w:rStyle w:val="FootnoteReference"/>
        </w:rPr>
        <w:footnoteRef/>
      </w:r>
      <w:r>
        <w:tab/>
      </w:r>
      <w:r w:rsidRPr="007E5BB9">
        <w:t>Another translation renders lines</w:t>
      </w:r>
      <w:r>
        <w:t xml:space="preserve"> </w:t>
      </w:r>
      <w:r w:rsidRPr="00022AA6">
        <w:t>20 and 21 thus</w:t>
      </w:r>
      <w:r w:rsidR="002A4258">
        <w:t xml:space="preserve">:  </w:t>
      </w:r>
      <w:r w:rsidRPr="00022AA6">
        <w:t>“Search</w:t>
      </w:r>
      <w:r>
        <w:t xml:space="preserve"> </w:t>
      </w:r>
      <w:r w:rsidRPr="00022AA6">
        <w:t>for</w:t>
      </w:r>
      <w:r>
        <w:t xml:space="preserve"> </w:t>
      </w:r>
      <w:r w:rsidRPr="00022AA6">
        <w:t>the</w:t>
      </w:r>
      <w:r>
        <w:t xml:space="preserve"> </w:t>
      </w:r>
      <w:r w:rsidRPr="00022AA6">
        <w:t>cause</w:t>
      </w:r>
      <w:r>
        <w:t xml:space="preserve"> </w:t>
      </w:r>
      <w:r w:rsidRPr="00022AA6">
        <w:t>of disease.</w:t>
      </w:r>
      <w:r>
        <w:t xml:space="preserve"> </w:t>
      </w:r>
      <w:r w:rsidRPr="00022AA6">
        <w:t xml:space="preserve"> This saying is the end of this speech” (Bahá’u’lláh, “Tablet”)</w:t>
      </w:r>
    </w:p>
  </w:footnote>
  <w:footnote w:id="8">
    <w:p w:rsidR="00933C64" w:rsidRPr="00933C64" w:rsidRDefault="00933C64" w:rsidP="00933C64">
      <w:pPr>
        <w:pStyle w:val="FootnoteText"/>
        <w:rPr>
          <w:lang w:val="en-US"/>
        </w:rPr>
      </w:pPr>
      <w:r>
        <w:rPr>
          <w:rStyle w:val="FootnoteReference"/>
        </w:rPr>
        <w:t>*</w:t>
      </w:r>
      <w:r>
        <w:tab/>
      </w:r>
      <w:proofErr w:type="spellStart"/>
      <w:proofErr w:type="gramStart"/>
      <w:r>
        <w:t>Sabab</w:t>
      </w:r>
      <w:proofErr w:type="spellEnd"/>
      <w:r>
        <w:t xml:space="preserve">, pl. </w:t>
      </w:r>
      <w:proofErr w:type="spellStart"/>
      <w:r>
        <w:t>asb</w:t>
      </w:r>
      <w:r w:rsidRPr="00933C64">
        <w:t>á</w:t>
      </w:r>
      <w:r>
        <w:t>b</w:t>
      </w:r>
      <w:proofErr w:type="spellEnd"/>
      <w:r>
        <w:t>.</w:t>
      </w:r>
      <w:proofErr w:type="gramEnd"/>
    </w:p>
  </w:footnote>
  <w:footnote w:id="9">
    <w:p w:rsidR="002A4258" w:rsidRPr="002A4258" w:rsidRDefault="002A4258">
      <w:pPr>
        <w:pStyle w:val="FootnoteText"/>
        <w:rPr>
          <w:lang w:val="en-US"/>
        </w:rPr>
      </w:pPr>
      <w:r>
        <w:rPr>
          <w:rStyle w:val="FootnoteReference"/>
        </w:rPr>
        <w:footnoteRef/>
      </w:r>
      <w:r>
        <w:tab/>
      </w:r>
      <w:r w:rsidRPr="00022AA6">
        <w:t>The Barstow translation oﬀers a slightly diﬀerent perspective on this passage</w:t>
      </w:r>
      <w:r>
        <w:t xml:space="preserve">:  </w:t>
      </w:r>
      <w:r w:rsidRPr="00022AA6">
        <w:t>“Say</w:t>
      </w:r>
      <w:r>
        <w:t xml:space="preserve">:  </w:t>
      </w:r>
      <w:r w:rsidRPr="00022AA6">
        <w:t xml:space="preserve">From what </w:t>
      </w:r>
      <w:proofErr w:type="gramStart"/>
      <w:r w:rsidRPr="00022AA6">
        <w:t>We</w:t>
      </w:r>
      <w:proofErr w:type="gramEnd"/>
      <w:r w:rsidRPr="00022AA6">
        <w:t xml:space="preserve"> have explained, the </w:t>
      </w:r>
      <w:proofErr w:type="spellStart"/>
      <w:r w:rsidRPr="00022AA6">
        <w:t>humors</w:t>
      </w:r>
      <w:proofErr w:type="spellEnd"/>
      <w:r w:rsidRPr="00022AA6">
        <w:t xml:space="preserve"> of the body should not be excessive and their quantity depends upon the condition of the body” (Bahá’u’lláh, “Tablet”).</w:t>
      </w:r>
    </w:p>
  </w:footnote>
  <w:footnote w:id="10">
    <w:p w:rsidR="00C4186D" w:rsidRPr="00C4186D" w:rsidRDefault="00C4186D">
      <w:pPr>
        <w:pStyle w:val="FootnoteText"/>
        <w:rPr>
          <w:lang w:val="en-US"/>
        </w:rPr>
      </w:pPr>
      <w:r>
        <w:rPr>
          <w:rStyle w:val="FootnoteReference"/>
        </w:rPr>
        <w:footnoteRef/>
      </w:r>
      <w:r>
        <w:tab/>
      </w:r>
      <w:r w:rsidRPr="00022AA6">
        <w:t>Another translation suggests the following</w:t>
      </w:r>
      <w:r>
        <w:t xml:space="preserve">:  </w:t>
      </w:r>
      <w:r w:rsidRPr="00022AA6">
        <w:t>“One sixth of each sixth part in its normal condition (is the right proportion)” (Bahá’u’lláh, “Tablet”).</w:t>
      </w:r>
    </w:p>
  </w:footnote>
  <w:footnote w:id="11">
    <w:p w:rsidR="00AC3D9F" w:rsidRPr="00AC3D9F" w:rsidRDefault="00AC3D9F">
      <w:pPr>
        <w:pStyle w:val="FootnoteText"/>
        <w:rPr>
          <w:lang w:val="en-US"/>
        </w:rPr>
      </w:pPr>
      <w:r>
        <w:rPr>
          <w:rStyle w:val="FootnoteReference"/>
        </w:rPr>
        <w:footnoteRef/>
      </w:r>
      <w:r>
        <w:tab/>
      </w:r>
      <w:r w:rsidRPr="00980DC9">
        <w:t>For</w:t>
      </w:r>
      <w:r w:rsidRPr="00022AA6">
        <w:t xml:space="preserve"> </w:t>
      </w:r>
      <w:r w:rsidRPr="00980DC9">
        <w:t>the</w:t>
      </w:r>
      <w:r w:rsidRPr="00022AA6">
        <w:t xml:space="preserve"> </w:t>
      </w:r>
      <w:r w:rsidRPr="00980DC9">
        <w:t>source</w:t>
      </w:r>
      <w:r w:rsidRPr="00022AA6">
        <w:t xml:space="preserve"> </w:t>
      </w:r>
      <w:r w:rsidRPr="00980DC9">
        <w:t>of</w:t>
      </w:r>
      <w:r w:rsidRPr="00022AA6">
        <w:t xml:space="preserve"> </w:t>
      </w:r>
      <w:r w:rsidRPr="00980DC9">
        <w:t>the</w:t>
      </w:r>
      <w:r w:rsidRPr="00022AA6">
        <w:t xml:space="preserve"> </w:t>
      </w:r>
      <w:r w:rsidRPr="00980DC9">
        <w:t>quote,</w:t>
      </w:r>
      <w:r w:rsidRPr="00022AA6">
        <w:t xml:space="preserve"> </w:t>
      </w:r>
      <w:r w:rsidRPr="00980DC9">
        <w:t>see</w:t>
      </w:r>
      <w:r w:rsidRPr="00022AA6">
        <w:t xml:space="preserve"> </w:t>
      </w:r>
      <w:r w:rsidRPr="00980DC9">
        <w:t>Bahá’u’lláh,</w:t>
      </w:r>
      <w:r w:rsidRPr="00022AA6">
        <w:t xml:space="preserve"> </w:t>
      </w:r>
      <w:proofErr w:type="spellStart"/>
      <w:r w:rsidRPr="00980DC9">
        <w:rPr>
          <w:i/>
        </w:rPr>
        <w:t>M</w:t>
      </w:r>
      <w:r w:rsidRPr="00AC3D9F">
        <w:rPr>
          <w:i/>
          <w:sz w:val="20"/>
        </w:rPr>
        <w:t>á</w:t>
      </w:r>
      <w:r w:rsidRPr="00980DC9">
        <w:rPr>
          <w:i/>
        </w:rPr>
        <w:t>’ida-yi</w:t>
      </w:r>
      <w:proofErr w:type="spellEnd"/>
      <w:r w:rsidRPr="00980DC9">
        <w:rPr>
          <w:i/>
        </w:rPr>
        <w:t xml:space="preserve"> </w:t>
      </w:r>
      <w:proofErr w:type="spellStart"/>
      <w:r w:rsidRPr="00AC3D9F">
        <w:rPr>
          <w:i/>
          <w:sz w:val="20"/>
        </w:rPr>
        <w:t>Á</w:t>
      </w:r>
      <w:r w:rsidRPr="00980DC9">
        <w:rPr>
          <w:i/>
        </w:rPr>
        <w:t>sm</w:t>
      </w:r>
      <w:r w:rsidRPr="00AC3D9F">
        <w:rPr>
          <w:i/>
          <w:sz w:val="20"/>
        </w:rPr>
        <w:t>á</w:t>
      </w:r>
      <w:r w:rsidRPr="00980DC9">
        <w:rPr>
          <w:i/>
        </w:rPr>
        <w:t>n</w:t>
      </w:r>
      <w:r w:rsidRPr="00AC3D9F">
        <w:rPr>
          <w:i/>
          <w:sz w:val="20"/>
        </w:rPr>
        <w:t>í</w:t>
      </w:r>
      <w:proofErr w:type="spellEnd"/>
      <w:r w:rsidRPr="00980DC9">
        <w:t>.</w:t>
      </w:r>
    </w:p>
  </w:footnote>
  <w:footnote w:id="12">
    <w:p w:rsidR="001F4F20" w:rsidRPr="001F4F20" w:rsidRDefault="001F4F20">
      <w:pPr>
        <w:pStyle w:val="FootnoteText"/>
        <w:rPr>
          <w:lang w:val="en-US"/>
        </w:rPr>
      </w:pPr>
      <w:r>
        <w:rPr>
          <w:rStyle w:val="FootnoteReference"/>
        </w:rPr>
        <w:t>*</w:t>
      </w:r>
      <w:r>
        <w:tab/>
      </w:r>
      <w:proofErr w:type="gramStart"/>
      <w:r>
        <w:t>Day of Judgement.</w:t>
      </w:r>
      <w:proofErr w:type="gramEnd"/>
    </w:p>
  </w:footnote>
  <w:footnote w:id="13">
    <w:p w:rsidR="00BA46ED" w:rsidRPr="00BA46ED" w:rsidRDefault="00BA46ED">
      <w:pPr>
        <w:pStyle w:val="FootnoteText"/>
        <w:rPr>
          <w:lang w:val="en-US"/>
        </w:rPr>
      </w:pPr>
      <w:r>
        <w:rPr>
          <w:rStyle w:val="FootnoteReference"/>
        </w:rPr>
        <w:footnoteRef/>
      </w:r>
      <w:r>
        <w:tab/>
      </w:r>
      <w:r w:rsidRPr="00022AA6">
        <w:t xml:space="preserve">Bahá’u’lláh explicitly enjoins people to consult “competent physicians” in the </w:t>
      </w:r>
      <w:r w:rsidRPr="00980DC9">
        <w:rPr>
          <w:i/>
        </w:rPr>
        <w:t xml:space="preserve">Kitáb-i-Aqdas </w:t>
      </w:r>
      <w:r w:rsidRPr="00022AA6">
        <w:t>(paragraph 113).</w:t>
      </w:r>
    </w:p>
  </w:footnote>
  <w:footnote w:id="14">
    <w:p w:rsidR="009A1E80" w:rsidRPr="009A1E80" w:rsidRDefault="009A1E80">
      <w:pPr>
        <w:pStyle w:val="FootnoteText"/>
        <w:rPr>
          <w:lang w:val="en-US"/>
        </w:rPr>
      </w:pPr>
      <w:r>
        <w:rPr>
          <w:rStyle w:val="FootnoteReference"/>
        </w:rPr>
        <w:footnoteRef/>
      </w:r>
      <w:r>
        <w:tab/>
      </w:r>
      <w:r w:rsidRPr="00022AA6">
        <w:t xml:space="preserve">See, for example, </w:t>
      </w:r>
      <w:r w:rsidRPr="00FA0E7C">
        <w:rPr>
          <w:i/>
          <w:iCs w:val="0"/>
        </w:rPr>
        <w:t>Epistle to the Son of the Wolf</w:t>
      </w:r>
      <w:r w:rsidRPr="00022AA6">
        <w:t xml:space="preserve"> 119.</w:t>
      </w:r>
    </w:p>
  </w:footnote>
  <w:footnote w:id="15">
    <w:p w:rsidR="0012344C" w:rsidRPr="0012344C" w:rsidRDefault="0012344C" w:rsidP="003F419A">
      <w:pPr>
        <w:pStyle w:val="FootnoteText"/>
        <w:rPr>
          <w:lang w:val="en-US"/>
        </w:rPr>
      </w:pPr>
      <w:r>
        <w:rPr>
          <w:rStyle w:val="FootnoteReference"/>
        </w:rPr>
        <w:footnoteRef/>
      </w:r>
      <w:r>
        <w:tab/>
      </w:r>
      <w:r w:rsidRPr="007E5BB9">
        <w:t>Another translation renders line</w:t>
      </w:r>
      <w:r w:rsidR="00A2349B">
        <w:t xml:space="preserve"> </w:t>
      </w:r>
      <w:r w:rsidRPr="00022AA6">
        <w:t>8 as follows</w:t>
      </w:r>
      <w:r>
        <w:t xml:space="preserve">:  </w:t>
      </w:r>
      <w:r w:rsidRPr="00022AA6">
        <w:t>“Treat disease ﬁrst of all through the diet and refrain from medicines” (Bahá’u’lláh, “Tablet”).</w:t>
      </w:r>
    </w:p>
  </w:footnote>
  <w:footnote w:id="16">
    <w:p w:rsidR="00A2349B" w:rsidRPr="00A2349B" w:rsidRDefault="00A2349B" w:rsidP="003F419A">
      <w:pPr>
        <w:pStyle w:val="FootnoteText"/>
        <w:rPr>
          <w:lang w:val="en-US"/>
        </w:rPr>
      </w:pPr>
      <w:r>
        <w:rPr>
          <w:rStyle w:val="FootnoteReference"/>
        </w:rPr>
        <w:footnoteRef/>
      </w:r>
      <w:r>
        <w:tab/>
      </w:r>
      <w:r w:rsidRPr="00022AA6">
        <w:t>“Do not avoid medical treatment (</w:t>
      </w:r>
      <w:r w:rsidRPr="00980DC9">
        <w:rPr>
          <w:i/>
        </w:rPr>
        <w:t>al-‘</w:t>
      </w:r>
      <w:proofErr w:type="spellStart"/>
      <w:r w:rsidRPr="00980DC9">
        <w:rPr>
          <w:i/>
        </w:rPr>
        <w:t>il</w:t>
      </w:r>
      <w:r w:rsidR="003F419A" w:rsidRPr="003F419A">
        <w:rPr>
          <w:i/>
        </w:rPr>
        <w:t>á</w:t>
      </w:r>
      <w:r w:rsidRPr="00980DC9">
        <w:rPr>
          <w:i/>
        </w:rPr>
        <w:t>j</w:t>
      </w:r>
      <w:proofErr w:type="spellEnd"/>
      <w:r w:rsidRPr="00022AA6">
        <w:t>) when thou hast need of it but abandon it when thy constitution hath been restored (</w:t>
      </w:r>
      <w:proofErr w:type="spellStart"/>
      <w:r w:rsidRPr="00980DC9">
        <w:rPr>
          <w:i/>
        </w:rPr>
        <w:t>istiq</w:t>
      </w:r>
      <w:r w:rsidR="003F419A" w:rsidRPr="003F419A">
        <w:rPr>
          <w:i/>
        </w:rPr>
        <w:t>á</w:t>
      </w:r>
      <w:r w:rsidRPr="00980DC9">
        <w:rPr>
          <w:i/>
        </w:rPr>
        <w:t>mat</w:t>
      </w:r>
      <w:proofErr w:type="spellEnd"/>
      <w:r w:rsidRPr="00022AA6">
        <w:t>).”</w:t>
      </w:r>
    </w:p>
  </w:footnote>
  <w:footnote w:id="17">
    <w:p w:rsidR="00281186" w:rsidRPr="00281186" w:rsidRDefault="00281186">
      <w:pPr>
        <w:pStyle w:val="FootnoteText"/>
        <w:rPr>
          <w:lang w:val="en-US"/>
        </w:rPr>
      </w:pPr>
      <w:r>
        <w:rPr>
          <w:rStyle w:val="FootnoteReference"/>
        </w:rPr>
        <w:t>*</w:t>
      </w:r>
      <w:r>
        <w:tab/>
        <w:t>Simple versus compounded.</w:t>
      </w:r>
    </w:p>
  </w:footnote>
  <w:footnote w:id="18">
    <w:p w:rsidR="00175B51" w:rsidRPr="00175B51" w:rsidRDefault="00175B51">
      <w:pPr>
        <w:pStyle w:val="FootnoteText"/>
        <w:rPr>
          <w:lang w:val="en-US"/>
        </w:rPr>
      </w:pPr>
      <w:r>
        <w:rPr>
          <w:rStyle w:val="FootnoteReference"/>
        </w:rPr>
        <w:t>†</w:t>
      </w:r>
      <w:r>
        <w:tab/>
      </w:r>
      <w:proofErr w:type="gramStart"/>
      <w:r>
        <w:t>Lit.</w:t>
      </w:r>
      <w:proofErr w:type="gramEnd"/>
      <w:r>
        <w:t xml:space="preserve"> “</w:t>
      </w:r>
      <w:proofErr w:type="gramStart"/>
      <w:r>
        <w:t>harmful</w:t>
      </w:r>
      <w:proofErr w:type="gramEnd"/>
      <w:r>
        <w:t xml:space="preserve"> repetition”.</w:t>
      </w:r>
    </w:p>
  </w:footnote>
  <w:footnote w:id="19">
    <w:p w:rsidR="00C5744C" w:rsidRPr="00C5744C" w:rsidRDefault="00C5744C">
      <w:pPr>
        <w:pStyle w:val="FootnoteText"/>
        <w:rPr>
          <w:lang w:val="en-US"/>
        </w:rPr>
      </w:pPr>
      <w:r>
        <w:rPr>
          <w:rStyle w:val="FootnoteReference"/>
        </w:rPr>
        <w:footnoteRef/>
      </w:r>
      <w:r>
        <w:tab/>
      </w:r>
      <w:r w:rsidRPr="007E5BB9">
        <w:t>Bahá’u’lláh’s reason for quoting</w:t>
      </w:r>
      <w:r>
        <w:t xml:space="preserve"> </w:t>
      </w:r>
      <w:r w:rsidRPr="00022AA6">
        <w:t>these historians is “that the eyes of the people may be opened thereby and that they may become fully assured that He is in truth the Maker, the Omnipotent, the Creator, the Originator, the All-Knowing, the All-Wise” (</w:t>
      </w:r>
      <w:r w:rsidRPr="00980DC9">
        <w:rPr>
          <w:i/>
        </w:rPr>
        <w:t xml:space="preserve">Tablets </w:t>
      </w:r>
      <w:r w:rsidRPr="00022AA6">
        <w:t>144).</w:t>
      </w:r>
    </w:p>
  </w:footnote>
  <w:footnote w:id="20">
    <w:p w:rsidR="00AF2FC8" w:rsidRPr="00AF2FC8" w:rsidRDefault="00AF2FC8" w:rsidP="003507AB">
      <w:pPr>
        <w:pStyle w:val="FootnoteText"/>
        <w:rPr>
          <w:lang w:val="en-US"/>
        </w:rPr>
      </w:pPr>
      <w:r>
        <w:rPr>
          <w:rStyle w:val="FootnoteReference"/>
        </w:rPr>
        <w:footnoteRef/>
      </w:r>
      <w:r>
        <w:tab/>
      </w:r>
      <w:r w:rsidRPr="007E5BB9">
        <w:t xml:space="preserve">See discussion above; also see </w:t>
      </w:r>
      <w:proofErr w:type="spellStart"/>
      <w:r w:rsidRPr="007E5BB9">
        <w:t>Fananapazir</w:t>
      </w:r>
      <w:proofErr w:type="spellEnd"/>
      <w:r w:rsidRPr="007E5BB9">
        <w:t xml:space="preserve"> and </w:t>
      </w:r>
      <w:proofErr w:type="spellStart"/>
      <w:r w:rsidRPr="007E5BB9">
        <w:t>Lambden</w:t>
      </w:r>
      <w:proofErr w:type="spellEnd"/>
      <w:r w:rsidRPr="007E5BB9">
        <w:t xml:space="preserve"> (47) for their provisional translation of a tablet</w:t>
      </w:r>
      <w:r w:rsidRPr="00022AA6">
        <w:t xml:space="preserve"> from </w:t>
      </w:r>
      <w:proofErr w:type="spellStart"/>
      <w:r w:rsidRPr="00980DC9">
        <w:rPr>
          <w:i/>
        </w:rPr>
        <w:t>M</w:t>
      </w:r>
      <w:r w:rsidR="003507AB" w:rsidRPr="003507AB">
        <w:rPr>
          <w:i/>
        </w:rPr>
        <w:t>á</w:t>
      </w:r>
      <w:r w:rsidRPr="00980DC9">
        <w:rPr>
          <w:i/>
        </w:rPr>
        <w:t>’iday</w:t>
      </w:r>
      <w:r w:rsidR="003507AB">
        <w:rPr>
          <w:i/>
        </w:rPr>
        <w:t>-</w:t>
      </w:r>
      <w:r w:rsidRPr="00980DC9">
        <w:rPr>
          <w:i/>
        </w:rPr>
        <w:t>i</w:t>
      </w:r>
      <w:proofErr w:type="spellEnd"/>
      <w:r w:rsidRPr="00980DC9">
        <w:rPr>
          <w:i/>
        </w:rPr>
        <w:t xml:space="preserve"> </w:t>
      </w:r>
      <w:proofErr w:type="spellStart"/>
      <w:r w:rsidR="003507AB" w:rsidRPr="003507AB">
        <w:rPr>
          <w:i/>
        </w:rPr>
        <w:t>Á</w:t>
      </w:r>
      <w:r w:rsidRPr="00980DC9">
        <w:rPr>
          <w:i/>
        </w:rPr>
        <w:t>sm</w:t>
      </w:r>
      <w:r w:rsidR="003507AB" w:rsidRPr="003507AB">
        <w:rPr>
          <w:i/>
        </w:rPr>
        <w:t>á</w:t>
      </w:r>
      <w:r w:rsidRPr="00980DC9">
        <w:rPr>
          <w:i/>
        </w:rPr>
        <w:t>n</w:t>
      </w:r>
      <w:r w:rsidR="003507AB" w:rsidRPr="003507AB">
        <w:rPr>
          <w:i/>
        </w:rPr>
        <w:t>í</w:t>
      </w:r>
      <w:proofErr w:type="spellEnd"/>
      <w:r w:rsidRPr="00022AA6">
        <w:t>.</w:t>
      </w:r>
    </w:p>
  </w:footnote>
  <w:footnote w:id="21">
    <w:p w:rsidR="003507AB" w:rsidRPr="003507AB" w:rsidRDefault="003507AB">
      <w:pPr>
        <w:pStyle w:val="FootnoteText"/>
        <w:rPr>
          <w:lang w:val="en-US"/>
        </w:rPr>
      </w:pPr>
      <w:r>
        <w:rPr>
          <w:rStyle w:val="FootnoteReference"/>
        </w:rPr>
        <w:footnoteRef/>
      </w:r>
      <w:r>
        <w:tab/>
      </w:r>
      <w:proofErr w:type="gramStart"/>
      <w:r w:rsidRPr="00022AA6">
        <w:t>Law</w:t>
      </w:r>
      <w:r w:rsidRPr="003D0280">
        <w:t>ḥ</w:t>
      </w:r>
      <w:r w:rsidRPr="007E5BB9">
        <w:t>-</w:t>
      </w:r>
      <w:proofErr w:type="spellStart"/>
      <w:r w:rsidRPr="007E5BB9">
        <w:t>i</w:t>
      </w:r>
      <w:proofErr w:type="spellEnd"/>
      <w:r w:rsidRPr="007E5BB9">
        <w:t>-</w:t>
      </w:r>
      <w:proofErr w:type="spellStart"/>
      <w:r w:rsidRPr="00E31A27">
        <w:rPr>
          <w:rFonts w:eastAsia="PMingLiU"/>
          <w:lang w:eastAsia="zh-TW"/>
        </w:rPr>
        <w:t>Ṭibb</w:t>
      </w:r>
      <w:proofErr w:type="spellEnd"/>
      <w:r w:rsidRPr="007E5BB9">
        <w:t>, line 3.</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F2B79A"/>
    <w:lvl w:ilvl="0">
      <w:start w:val="1"/>
      <w:numFmt w:val="decimal"/>
      <w:lvlText w:val="%1."/>
      <w:lvlJc w:val="left"/>
      <w:pPr>
        <w:tabs>
          <w:tab w:val="num" w:pos="1492"/>
        </w:tabs>
        <w:ind w:left="1492" w:hanging="360"/>
      </w:pPr>
    </w:lvl>
  </w:abstractNum>
  <w:abstractNum w:abstractNumId="1">
    <w:nsid w:val="FFFFFF7D"/>
    <w:multiLevelType w:val="singleLevel"/>
    <w:tmpl w:val="302A2C1A"/>
    <w:lvl w:ilvl="0">
      <w:start w:val="1"/>
      <w:numFmt w:val="decimal"/>
      <w:lvlText w:val="%1."/>
      <w:lvlJc w:val="left"/>
      <w:pPr>
        <w:tabs>
          <w:tab w:val="num" w:pos="1209"/>
        </w:tabs>
        <w:ind w:left="1209" w:hanging="360"/>
      </w:pPr>
    </w:lvl>
  </w:abstractNum>
  <w:abstractNum w:abstractNumId="2">
    <w:nsid w:val="FFFFFF7E"/>
    <w:multiLevelType w:val="singleLevel"/>
    <w:tmpl w:val="37DEA6B0"/>
    <w:lvl w:ilvl="0">
      <w:start w:val="1"/>
      <w:numFmt w:val="decimal"/>
      <w:lvlText w:val="%1."/>
      <w:lvlJc w:val="left"/>
      <w:pPr>
        <w:tabs>
          <w:tab w:val="num" w:pos="926"/>
        </w:tabs>
        <w:ind w:left="926" w:hanging="360"/>
      </w:pPr>
    </w:lvl>
  </w:abstractNum>
  <w:abstractNum w:abstractNumId="3">
    <w:nsid w:val="FFFFFF7F"/>
    <w:multiLevelType w:val="singleLevel"/>
    <w:tmpl w:val="096492E0"/>
    <w:lvl w:ilvl="0">
      <w:start w:val="1"/>
      <w:numFmt w:val="decimal"/>
      <w:lvlText w:val="%1."/>
      <w:lvlJc w:val="left"/>
      <w:pPr>
        <w:tabs>
          <w:tab w:val="num" w:pos="643"/>
        </w:tabs>
        <w:ind w:left="643" w:hanging="360"/>
      </w:pPr>
    </w:lvl>
  </w:abstractNum>
  <w:abstractNum w:abstractNumId="4">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CAFF98"/>
    <w:lvl w:ilvl="0">
      <w:start w:val="1"/>
      <w:numFmt w:val="decimal"/>
      <w:lvlText w:val="%1."/>
      <w:lvlJc w:val="left"/>
      <w:pPr>
        <w:tabs>
          <w:tab w:val="num" w:pos="360"/>
        </w:tabs>
        <w:ind w:left="360" w:hanging="360"/>
      </w:pPr>
    </w:lvl>
  </w:abstractNum>
  <w:abstractNum w:abstractNumId="9">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abstractNum w:abstractNumId="10">
    <w:nsid w:val="00CA6D18"/>
    <w:multiLevelType w:val="hybridMultilevel"/>
    <w:tmpl w:val="DFA41654"/>
    <w:lvl w:ilvl="0" w:tplc="FC20172A">
      <w:start w:val="13"/>
      <w:numFmt w:val="decimal"/>
      <w:lvlText w:val="%1"/>
      <w:lvlJc w:val="left"/>
      <w:pPr>
        <w:ind w:left="840" w:hanging="520"/>
      </w:pPr>
      <w:rPr>
        <w:rFonts w:ascii="Times New Roman" w:eastAsia="Times New Roman" w:hAnsi="Times New Roman" w:cs="Times New Roman" w:hint="default"/>
        <w:color w:val="231F20"/>
        <w:spacing w:val="-15"/>
        <w:w w:val="100"/>
        <w:sz w:val="20"/>
        <w:szCs w:val="20"/>
      </w:rPr>
    </w:lvl>
    <w:lvl w:ilvl="1" w:tplc="0D5E12BC">
      <w:numFmt w:val="bullet"/>
      <w:lvlText w:val="•"/>
      <w:lvlJc w:val="left"/>
      <w:pPr>
        <w:ind w:left="1114" w:hanging="520"/>
      </w:pPr>
      <w:rPr>
        <w:rFonts w:hint="default"/>
      </w:rPr>
    </w:lvl>
    <w:lvl w:ilvl="2" w:tplc="1D907EAC">
      <w:numFmt w:val="bullet"/>
      <w:lvlText w:val="•"/>
      <w:lvlJc w:val="left"/>
      <w:pPr>
        <w:ind w:left="1388" w:hanging="520"/>
      </w:pPr>
      <w:rPr>
        <w:rFonts w:hint="default"/>
      </w:rPr>
    </w:lvl>
    <w:lvl w:ilvl="3" w:tplc="1EBC74CE">
      <w:numFmt w:val="bullet"/>
      <w:lvlText w:val="•"/>
      <w:lvlJc w:val="left"/>
      <w:pPr>
        <w:ind w:left="1662" w:hanging="520"/>
      </w:pPr>
      <w:rPr>
        <w:rFonts w:hint="default"/>
      </w:rPr>
    </w:lvl>
    <w:lvl w:ilvl="4" w:tplc="5F3AA902">
      <w:numFmt w:val="bullet"/>
      <w:lvlText w:val="•"/>
      <w:lvlJc w:val="left"/>
      <w:pPr>
        <w:ind w:left="1936" w:hanging="520"/>
      </w:pPr>
      <w:rPr>
        <w:rFonts w:hint="default"/>
      </w:rPr>
    </w:lvl>
    <w:lvl w:ilvl="5" w:tplc="28C09E78">
      <w:numFmt w:val="bullet"/>
      <w:lvlText w:val="•"/>
      <w:lvlJc w:val="left"/>
      <w:pPr>
        <w:ind w:left="2210" w:hanging="520"/>
      </w:pPr>
      <w:rPr>
        <w:rFonts w:hint="default"/>
      </w:rPr>
    </w:lvl>
    <w:lvl w:ilvl="6" w:tplc="0A3ABE82">
      <w:numFmt w:val="bullet"/>
      <w:lvlText w:val="•"/>
      <w:lvlJc w:val="left"/>
      <w:pPr>
        <w:ind w:left="2485" w:hanging="520"/>
      </w:pPr>
      <w:rPr>
        <w:rFonts w:hint="default"/>
      </w:rPr>
    </w:lvl>
    <w:lvl w:ilvl="7" w:tplc="2FE6DFC2">
      <w:numFmt w:val="bullet"/>
      <w:lvlText w:val="•"/>
      <w:lvlJc w:val="left"/>
      <w:pPr>
        <w:ind w:left="2759" w:hanging="520"/>
      </w:pPr>
      <w:rPr>
        <w:rFonts w:hint="default"/>
      </w:rPr>
    </w:lvl>
    <w:lvl w:ilvl="8" w:tplc="C86C6C9E">
      <w:numFmt w:val="bullet"/>
      <w:lvlText w:val="•"/>
      <w:lvlJc w:val="left"/>
      <w:pPr>
        <w:ind w:left="3033" w:hanging="520"/>
      </w:pPr>
      <w:rPr>
        <w:rFonts w:hint="default"/>
      </w:rPr>
    </w:lvl>
  </w:abstractNum>
  <w:abstractNum w:abstractNumId="11">
    <w:nsid w:val="07950BD3"/>
    <w:multiLevelType w:val="hybridMultilevel"/>
    <w:tmpl w:val="C0C25F6A"/>
    <w:lvl w:ilvl="0" w:tplc="C00AFA78">
      <w:start w:val="9"/>
      <w:numFmt w:val="decimal"/>
      <w:lvlText w:val="%1"/>
      <w:lvlJc w:val="left"/>
      <w:pPr>
        <w:ind w:left="120" w:hanging="520"/>
      </w:pPr>
      <w:rPr>
        <w:rFonts w:ascii="Times New Roman" w:eastAsia="Times New Roman" w:hAnsi="Times New Roman" w:cs="Times New Roman" w:hint="default"/>
        <w:color w:val="231F20"/>
        <w:spacing w:val="-8"/>
        <w:w w:val="100"/>
        <w:sz w:val="20"/>
        <w:szCs w:val="20"/>
      </w:rPr>
    </w:lvl>
    <w:lvl w:ilvl="1" w:tplc="8E9A2920">
      <w:numFmt w:val="bullet"/>
      <w:lvlText w:val="•"/>
      <w:lvlJc w:val="left"/>
      <w:pPr>
        <w:ind w:left="474" w:hanging="520"/>
      </w:pPr>
      <w:rPr>
        <w:rFonts w:hint="default"/>
      </w:rPr>
    </w:lvl>
    <w:lvl w:ilvl="2" w:tplc="352AF34E">
      <w:numFmt w:val="bullet"/>
      <w:lvlText w:val="•"/>
      <w:lvlJc w:val="left"/>
      <w:pPr>
        <w:ind w:left="828" w:hanging="520"/>
      </w:pPr>
      <w:rPr>
        <w:rFonts w:hint="default"/>
      </w:rPr>
    </w:lvl>
    <w:lvl w:ilvl="3" w:tplc="BEB6F412">
      <w:numFmt w:val="bullet"/>
      <w:lvlText w:val="•"/>
      <w:lvlJc w:val="left"/>
      <w:pPr>
        <w:ind w:left="1182" w:hanging="520"/>
      </w:pPr>
      <w:rPr>
        <w:rFonts w:hint="default"/>
      </w:rPr>
    </w:lvl>
    <w:lvl w:ilvl="4" w:tplc="EFEE22C2">
      <w:numFmt w:val="bullet"/>
      <w:lvlText w:val="•"/>
      <w:lvlJc w:val="left"/>
      <w:pPr>
        <w:ind w:left="1536" w:hanging="520"/>
      </w:pPr>
      <w:rPr>
        <w:rFonts w:hint="default"/>
      </w:rPr>
    </w:lvl>
    <w:lvl w:ilvl="5" w:tplc="F416813E">
      <w:numFmt w:val="bullet"/>
      <w:lvlText w:val="•"/>
      <w:lvlJc w:val="left"/>
      <w:pPr>
        <w:ind w:left="1890" w:hanging="520"/>
      </w:pPr>
      <w:rPr>
        <w:rFonts w:hint="default"/>
      </w:rPr>
    </w:lvl>
    <w:lvl w:ilvl="6" w:tplc="BDC48272">
      <w:numFmt w:val="bullet"/>
      <w:lvlText w:val="•"/>
      <w:lvlJc w:val="left"/>
      <w:pPr>
        <w:ind w:left="2244" w:hanging="520"/>
      </w:pPr>
      <w:rPr>
        <w:rFonts w:hint="default"/>
      </w:rPr>
    </w:lvl>
    <w:lvl w:ilvl="7" w:tplc="F72CD9A0">
      <w:numFmt w:val="bullet"/>
      <w:lvlText w:val="•"/>
      <w:lvlJc w:val="left"/>
      <w:pPr>
        <w:ind w:left="2598" w:hanging="520"/>
      </w:pPr>
      <w:rPr>
        <w:rFonts w:hint="default"/>
      </w:rPr>
    </w:lvl>
    <w:lvl w:ilvl="8" w:tplc="66BE0A7C">
      <w:numFmt w:val="bullet"/>
      <w:lvlText w:val="•"/>
      <w:lvlJc w:val="left"/>
      <w:pPr>
        <w:ind w:left="2952" w:hanging="520"/>
      </w:pPr>
      <w:rPr>
        <w:rFonts w:hint="default"/>
      </w:rPr>
    </w:lvl>
  </w:abstractNum>
  <w:abstractNum w:abstractNumId="12">
    <w:nsid w:val="1A196E0B"/>
    <w:multiLevelType w:val="hybridMultilevel"/>
    <w:tmpl w:val="C884297E"/>
    <w:lvl w:ilvl="0" w:tplc="522CC230">
      <w:start w:val="33"/>
      <w:numFmt w:val="decimal"/>
      <w:lvlText w:val="%1"/>
      <w:lvlJc w:val="left"/>
      <w:pPr>
        <w:ind w:left="320" w:hanging="520"/>
      </w:pPr>
      <w:rPr>
        <w:rFonts w:ascii="Times New Roman" w:eastAsia="Times New Roman" w:hAnsi="Times New Roman" w:cs="Times New Roman" w:hint="default"/>
        <w:color w:val="231F20"/>
        <w:spacing w:val="-4"/>
        <w:w w:val="100"/>
        <w:sz w:val="22"/>
        <w:szCs w:val="22"/>
      </w:rPr>
    </w:lvl>
    <w:lvl w:ilvl="1" w:tplc="24949B9C">
      <w:numFmt w:val="bullet"/>
      <w:lvlText w:val="•"/>
      <w:lvlJc w:val="left"/>
      <w:pPr>
        <w:ind w:left="654" w:hanging="520"/>
      </w:pPr>
      <w:rPr>
        <w:rFonts w:hint="default"/>
      </w:rPr>
    </w:lvl>
    <w:lvl w:ilvl="2" w:tplc="528C59E2">
      <w:numFmt w:val="bullet"/>
      <w:lvlText w:val="•"/>
      <w:lvlJc w:val="left"/>
      <w:pPr>
        <w:ind w:left="988" w:hanging="520"/>
      </w:pPr>
      <w:rPr>
        <w:rFonts w:hint="default"/>
      </w:rPr>
    </w:lvl>
    <w:lvl w:ilvl="3" w:tplc="94E80DE8">
      <w:numFmt w:val="bullet"/>
      <w:lvlText w:val="•"/>
      <w:lvlJc w:val="left"/>
      <w:pPr>
        <w:ind w:left="1322" w:hanging="520"/>
      </w:pPr>
      <w:rPr>
        <w:rFonts w:hint="default"/>
      </w:rPr>
    </w:lvl>
    <w:lvl w:ilvl="4" w:tplc="D84A0836">
      <w:numFmt w:val="bullet"/>
      <w:lvlText w:val="•"/>
      <w:lvlJc w:val="left"/>
      <w:pPr>
        <w:ind w:left="1656" w:hanging="520"/>
      </w:pPr>
      <w:rPr>
        <w:rFonts w:hint="default"/>
      </w:rPr>
    </w:lvl>
    <w:lvl w:ilvl="5" w:tplc="3F342DA4">
      <w:numFmt w:val="bullet"/>
      <w:lvlText w:val="•"/>
      <w:lvlJc w:val="left"/>
      <w:pPr>
        <w:ind w:left="1990" w:hanging="520"/>
      </w:pPr>
      <w:rPr>
        <w:rFonts w:hint="default"/>
      </w:rPr>
    </w:lvl>
    <w:lvl w:ilvl="6" w:tplc="63B6C512">
      <w:numFmt w:val="bullet"/>
      <w:lvlText w:val="•"/>
      <w:lvlJc w:val="left"/>
      <w:pPr>
        <w:ind w:left="2323" w:hanging="520"/>
      </w:pPr>
      <w:rPr>
        <w:rFonts w:hint="default"/>
      </w:rPr>
    </w:lvl>
    <w:lvl w:ilvl="7" w:tplc="F3580CBE">
      <w:numFmt w:val="bullet"/>
      <w:lvlText w:val="•"/>
      <w:lvlJc w:val="left"/>
      <w:pPr>
        <w:ind w:left="2657" w:hanging="520"/>
      </w:pPr>
      <w:rPr>
        <w:rFonts w:hint="default"/>
      </w:rPr>
    </w:lvl>
    <w:lvl w:ilvl="8" w:tplc="3D6CA6B4">
      <w:numFmt w:val="bullet"/>
      <w:lvlText w:val="•"/>
      <w:lvlJc w:val="left"/>
      <w:pPr>
        <w:ind w:left="2991" w:hanging="520"/>
      </w:pPr>
      <w:rPr>
        <w:rFonts w:hint="default"/>
      </w:rPr>
    </w:lvl>
  </w:abstractNum>
  <w:abstractNum w:abstractNumId="13">
    <w:nsid w:val="23483ACD"/>
    <w:multiLevelType w:val="hybridMultilevel"/>
    <w:tmpl w:val="3AA64D62"/>
    <w:lvl w:ilvl="0" w:tplc="004CDAA0">
      <w:start w:val="20"/>
      <w:numFmt w:val="decimal"/>
      <w:lvlText w:val="%1"/>
      <w:lvlJc w:val="left"/>
      <w:pPr>
        <w:ind w:left="320" w:hanging="520"/>
      </w:pPr>
      <w:rPr>
        <w:rFonts w:ascii="Times New Roman" w:eastAsia="Times New Roman" w:hAnsi="Times New Roman" w:cs="Times New Roman" w:hint="default"/>
        <w:color w:val="231F20"/>
        <w:spacing w:val="-2"/>
        <w:w w:val="100"/>
        <w:sz w:val="22"/>
        <w:szCs w:val="22"/>
      </w:rPr>
    </w:lvl>
    <w:lvl w:ilvl="1" w:tplc="DEB44052">
      <w:numFmt w:val="bullet"/>
      <w:lvlText w:val="•"/>
      <w:lvlJc w:val="left"/>
      <w:pPr>
        <w:ind w:left="646" w:hanging="520"/>
      </w:pPr>
      <w:rPr>
        <w:rFonts w:hint="default"/>
      </w:rPr>
    </w:lvl>
    <w:lvl w:ilvl="2" w:tplc="0B4A5808">
      <w:numFmt w:val="bullet"/>
      <w:lvlText w:val="•"/>
      <w:lvlJc w:val="left"/>
      <w:pPr>
        <w:ind w:left="972" w:hanging="520"/>
      </w:pPr>
      <w:rPr>
        <w:rFonts w:hint="default"/>
      </w:rPr>
    </w:lvl>
    <w:lvl w:ilvl="3" w:tplc="9B62A328">
      <w:numFmt w:val="bullet"/>
      <w:lvlText w:val="•"/>
      <w:lvlJc w:val="left"/>
      <w:pPr>
        <w:ind w:left="1298" w:hanging="520"/>
      </w:pPr>
      <w:rPr>
        <w:rFonts w:hint="default"/>
      </w:rPr>
    </w:lvl>
    <w:lvl w:ilvl="4" w:tplc="CAD62E20">
      <w:numFmt w:val="bullet"/>
      <w:lvlText w:val="•"/>
      <w:lvlJc w:val="left"/>
      <w:pPr>
        <w:ind w:left="1624" w:hanging="520"/>
      </w:pPr>
      <w:rPr>
        <w:rFonts w:hint="default"/>
      </w:rPr>
    </w:lvl>
    <w:lvl w:ilvl="5" w:tplc="1094422A">
      <w:numFmt w:val="bullet"/>
      <w:lvlText w:val="•"/>
      <w:lvlJc w:val="left"/>
      <w:pPr>
        <w:ind w:left="1951" w:hanging="520"/>
      </w:pPr>
      <w:rPr>
        <w:rFonts w:hint="default"/>
      </w:rPr>
    </w:lvl>
    <w:lvl w:ilvl="6" w:tplc="B874E688">
      <w:numFmt w:val="bullet"/>
      <w:lvlText w:val="•"/>
      <w:lvlJc w:val="left"/>
      <w:pPr>
        <w:ind w:left="2277" w:hanging="520"/>
      </w:pPr>
      <w:rPr>
        <w:rFonts w:hint="default"/>
      </w:rPr>
    </w:lvl>
    <w:lvl w:ilvl="7" w:tplc="A580A72E">
      <w:numFmt w:val="bullet"/>
      <w:lvlText w:val="•"/>
      <w:lvlJc w:val="left"/>
      <w:pPr>
        <w:ind w:left="2603" w:hanging="520"/>
      </w:pPr>
      <w:rPr>
        <w:rFonts w:hint="default"/>
      </w:rPr>
    </w:lvl>
    <w:lvl w:ilvl="8" w:tplc="3C781896">
      <w:numFmt w:val="bullet"/>
      <w:lvlText w:val="•"/>
      <w:lvlJc w:val="left"/>
      <w:pPr>
        <w:ind w:left="2929" w:hanging="520"/>
      </w:pPr>
      <w:rPr>
        <w:rFonts w:hint="default"/>
      </w:rPr>
    </w:lvl>
  </w:abstractNum>
  <w:abstractNum w:abstractNumId="14">
    <w:nsid w:val="2EFE100E"/>
    <w:multiLevelType w:val="hybridMultilevel"/>
    <w:tmpl w:val="4B62730A"/>
    <w:lvl w:ilvl="0" w:tplc="D6EE2706">
      <w:start w:val="23"/>
      <w:numFmt w:val="decimal"/>
      <w:lvlText w:val="%1"/>
      <w:lvlJc w:val="left"/>
      <w:pPr>
        <w:ind w:left="320" w:hanging="520"/>
      </w:pPr>
      <w:rPr>
        <w:rFonts w:ascii="Times New Roman" w:eastAsia="Times New Roman" w:hAnsi="Times New Roman" w:cs="Times New Roman" w:hint="default"/>
        <w:color w:val="231F20"/>
        <w:spacing w:val="-25"/>
        <w:w w:val="100"/>
        <w:sz w:val="22"/>
        <w:szCs w:val="22"/>
      </w:rPr>
    </w:lvl>
    <w:lvl w:ilvl="1" w:tplc="5E763B6A">
      <w:numFmt w:val="bullet"/>
      <w:lvlText w:val="•"/>
      <w:lvlJc w:val="left"/>
      <w:pPr>
        <w:ind w:left="646" w:hanging="520"/>
      </w:pPr>
      <w:rPr>
        <w:rFonts w:hint="default"/>
      </w:rPr>
    </w:lvl>
    <w:lvl w:ilvl="2" w:tplc="AD926234">
      <w:numFmt w:val="bullet"/>
      <w:lvlText w:val="•"/>
      <w:lvlJc w:val="left"/>
      <w:pPr>
        <w:ind w:left="972" w:hanging="520"/>
      </w:pPr>
      <w:rPr>
        <w:rFonts w:hint="default"/>
      </w:rPr>
    </w:lvl>
    <w:lvl w:ilvl="3" w:tplc="F5F2E730">
      <w:numFmt w:val="bullet"/>
      <w:lvlText w:val="•"/>
      <w:lvlJc w:val="left"/>
      <w:pPr>
        <w:ind w:left="1298" w:hanging="520"/>
      </w:pPr>
      <w:rPr>
        <w:rFonts w:hint="default"/>
      </w:rPr>
    </w:lvl>
    <w:lvl w:ilvl="4" w:tplc="D07E2FF4">
      <w:numFmt w:val="bullet"/>
      <w:lvlText w:val="•"/>
      <w:lvlJc w:val="left"/>
      <w:pPr>
        <w:ind w:left="1624" w:hanging="520"/>
      </w:pPr>
      <w:rPr>
        <w:rFonts w:hint="default"/>
      </w:rPr>
    </w:lvl>
    <w:lvl w:ilvl="5" w:tplc="2AB603A4">
      <w:numFmt w:val="bullet"/>
      <w:lvlText w:val="•"/>
      <w:lvlJc w:val="left"/>
      <w:pPr>
        <w:ind w:left="1951" w:hanging="520"/>
      </w:pPr>
      <w:rPr>
        <w:rFonts w:hint="default"/>
      </w:rPr>
    </w:lvl>
    <w:lvl w:ilvl="6" w:tplc="2A602882">
      <w:numFmt w:val="bullet"/>
      <w:lvlText w:val="•"/>
      <w:lvlJc w:val="left"/>
      <w:pPr>
        <w:ind w:left="2277" w:hanging="520"/>
      </w:pPr>
      <w:rPr>
        <w:rFonts w:hint="default"/>
      </w:rPr>
    </w:lvl>
    <w:lvl w:ilvl="7" w:tplc="5A4EF336">
      <w:numFmt w:val="bullet"/>
      <w:lvlText w:val="•"/>
      <w:lvlJc w:val="left"/>
      <w:pPr>
        <w:ind w:left="2603" w:hanging="520"/>
      </w:pPr>
      <w:rPr>
        <w:rFonts w:hint="default"/>
      </w:rPr>
    </w:lvl>
    <w:lvl w:ilvl="8" w:tplc="FFB20B62">
      <w:numFmt w:val="bullet"/>
      <w:lvlText w:val="•"/>
      <w:lvlJc w:val="left"/>
      <w:pPr>
        <w:ind w:left="2929" w:hanging="520"/>
      </w:pPr>
      <w:rPr>
        <w:rFonts w:hint="default"/>
      </w:rPr>
    </w:lvl>
  </w:abstractNum>
  <w:abstractNum w:abstractNumId="15">
    <w:nsid w:val="35430450"/>
    <w:multiLevelType w:val="hybridMultilevel"/>
    <w:tmpl w:val="53C66130"/>
    <w:lvl w:ilvl="0" w:tplc="DBA6F180">
      <w:start w:val="1"/>
      <w:numFmt w:val="decimal"/>
      <w:lvlText w:val="%1"/>
      <w:lvlJc w:val="left"/>
      <w:pPr>
        <w:ind w:left="120" w:hanging="520"/>
      </w:pPr>
      <w:rPr>
        <w:rFonts w:ascii="Times New Roman" w:eastAsia="Times New Roman" w:hAnsi="Times New Roman" w:cs="Times New Roman" w:hint="default"/>
        <w:color w:val="231F20"/>
        <w:spacing w:val="-16"/>
        <w:w w:val="100"/>
        <w:sz w:val="20"/>
        <w:szCs w:val="20"/>
      </w:rPr>
    </w:lvl>
    <w:lvl w:ilvl="1" w:tplc="46605496">
      <w:numFmt w:val="bullet"/>
      <w:lvlText w:val="•"/>
      <w:lvlJc w:val="left"/>
      <w:pPr>
        <w:ind w:left="466" w:hanging="520"/>
      </w:pPr>
      <w:rPr>
        <w:rFonts w:hint="default"/>
      </w:rPr>
    </w:lvl>
    <w:lvl w:ilvl="2" w:tplc="885E0F9A">
      <w:numFmt w:val="bullet"/>
      <w:lvlText w:val="•"/>
      <w:lvlJc w:val="left"/>
      <w:pPr>
        <w:ind w:left="812" w:hanging="520"/>
      </w:pPr>
      <w:rPr>
        <w:rFonts w:hint="default"/>
      </w:rPr>
    </w:lvl>
    <w:lvl w:ilvl="3" w:tplc="FD1A6CC6">
      <w:numFmt w:val="bullet"/>
      <w:lvlText w:val="•"/>
      <w:lvlJc w:val="left"/>
      <w:pPr>
        <w:ind w:left="1158" w:hanging="520"/>
      </w:pPr>
      <w:rPr>
        <w:rFonts w:hint="default"/>
      </w:rPr>
    </w:lvl>
    <w:lvl w:ilvl="4" w:tplc="5450FB52">
      <w:numFmt w:val="bullet"/>
      <w:lvlText w:val="•"/>
      <w:lvlJc w:val="left"/>
      <w:pPr>
        <w:ind w:left="1504" w:hanging="520"/>
      </w:pPr>
      <w:rPr>
        <w:rFonts w:hint="default"/>
      </w:rPr>
    </w:lvl>
    <w:lvl w:ilvl="5" w:tplc="178A7CA6">
      <w:numFmt w:val="bullet"/>
      <w:lvlText w:val="•"/>
      <w:lvlJc w:val="left"/>
      <w:pPr>
        <w:ind w:left="1851" w:hanging="520"/>
      </w:pPr>
      <w:rPr>
        <w:rFonts w:hint="default"/>
      </w:rPr>
    </w:lvl>
    <w:lvl w:ilvl="6" w:tplc="5DCE28EC">
      <w:numFmt w:val="bullet"/>
      <w:lvlText w:val="•"/>
      <w:lvlJc w:val="left"/>
      <w:pPr>
        <w:ind w:left="2197" w:hanging="520"/>
      </w:pPr>
      <w:rPr>
        <w:rFonts w:hint="default"/>
      </w:rPr>
    </w:lvl>
    <w:lvl w:ilvl="7" w:tplc="46B05444">
      <w:numFmt w:val="bullet"/>
      <w:lvlText w:val="•"/>
      <w:lvlJc w:val="left"/>
      <w:pPr>
        <w:ind w:left="2543" w:hanging="520"/>
      </w:pPr>
      <w:rPr>
        <w:rFonts w:hint="default"/>
      </w:rPr>
    </w:lvl>
    <w:lvl w:ilvl="8" w:tplc="2BEA3E80">
      <w:numFmt w:val="bullet"/>
      <w:lvlText w:val="•"/>
      <w:lvlJc w:val="left"/>
      <w:pPr>
        <w:ind w:left="2889" w:hanging="520"/>
      </w:pPr>
      <w:rPr>
        <w:rFonts w:hint="default"/>
      </w:rPr>
    </w:lvl>
  </w:abstractNum>
  <w:abstractNum w:abstractNumId="16">
    <w:nsid w:val="462C44CF"/>
    <w:multiLevelType w:val="hybridMultilevel"/>
    <w:tmpl w:val="1990EB40"/>
    <w:lvl w:ilvl="0" w:tplc="821039C8">
      <w:start w:val="41"/>
      <w:numFmt w:val="decimal"/>
      <w:lvlText w:val="%1"/>
      <w:lvlJc w:val="left"/>
      <w:pPr>
        <w:ind w:left="320" w:hanging="520"/>
      </w:pPr>
      <w:rPr>
        <w:rFonts w:ascii="Times New Roman" w:eastAsia="Times New Roman" w:hAnsi="Times New Roman" w:cs="Times New Roman" w:hint="default"/>
        <w:color w:val="231F20"/>
        <w:spacing w:val="-6"/>
        <w:w w:val="100"/>
        <w:sz w:val="22"/>
        <w:szCs w:val="22"/>
      </w:rPr>
    </w:lvl>
    <w:lvl w:ilvl="1" w:tplc="11949EFA">
      <w:numFmt w:val="bullet"/>
      <w:lvlText w:val="•"/>
      <w:lvlJc w:val="left"/>
      <w:pPr>
        <w:ind w:left="646" w:hanging="520"/>
      </w:pPr>
      <w:rPr>
        <w:rFonts w:hint="default"/>
      </w:rPr>
    </w:lvl>
    <w:lvl w:ilvl="2" w:tplc="5C686302">
      <w:numFmt w:val="bullet"/>
      <w:lvlText w:val="•"/>
      <w:lvlJc w:val="left"/>
      <w:pPr>
        <w:ind w:left="972" w:hanging="520"/>
      </w:pPr>
      <w:rPr>
        <w:rFonts w:hint="default"/>
      </w:rPr>
    </w:lvl>
    <w:lvl w:ilvl="3" w:tplc="DDFEF81E">
      <w:numFmt w:val="bullet"/>
      <w:lvlText w:val="•"/>
      <w:lvlJc w:val="left"/>
      <w:pPr>
        <w:ind w:left="1298" w:hanging="520"/>
      </w:pPr>
      <w:rPr>
        <w:rFonts w:hint="default"/>
      </w:rPr>
    </w:lvl>
    <w:lvl w:ilvl="4" w:tplc="3810435A">
      <w:numFmt w:val="bullet"/>
      <w:lvlText w:val="•"/>
      <w:lvlJc w:val="left"/>
      <w:pPr>
        <w:ind w:left="1624" w:hanging="520"/>
      </w:pPr>
      <w:rPr>
        <w:rFonts w:hint="default"/>
      </w:rPr>
    </w:lvl>
    <w:lvl w:ilvl="5" w:tplc="32F0A54C">
      <w:numFmt w:val="bullet"/>
      <w:lvlText w:val="•"/>
      <w:lvlJc w:val="left"/>
      <w:pPr>
        <w:ind w:left="1951" w:hanging="520"/>
      </w:pPr>
      <w:rPr>
        <w:rFonts w:hint="default"/>
      </w:rPr>
    </w:lvl>
    <w:lvl w:ilvl="6" w:tplc="08A63560">
      <w:numFmt w:val="bullet"/>
      <w:lvlText w:val="•"/>
      <w:lvlJc w:val="left"/>
      <w:pPr>
        <w:ind w:left="2277" w:hanging="520"/>
      </w:pPr>
      <w:rPr>
        <w:rFonts w:hint="default"/>
      </w:rPr>
    </w:lvl>
    <w:lvl w:ilvl="7" w:tplc="23607EAA">
      <w:numFmt w:val="bullet"/>
      <w:lvlText w:val="•"/>
      <w:lvlJc w:val="left"/>
      <w:pPr>
        <w:ind w:left="2603" w:hanging="520"/>
      </w:pPr>
      <w:rPr>
        <w:rFonts w:hint="default"/>
      </w:rPr>
    </w:lvl>
    <w:lvl w:ilvl="8" w:tplc="D2CC834C">
      <w:numFmt w:val="bullet"/>
      <w:lvlText w:val="•"/>
      <w:lvlJc w:val="left"/>
      <w:pPr>
        <w:ind w:left="2929" w:hanging="520"/>
      </w:pPr>
      <w:rPr>
        <w:rFonts w:hint="default"/>
      </w:rPr>
    </w:lvl>
  </w:abstractNum>
  <w:abstractNum w:abstractNumId="17">
    <w:nsid w:val="4EFF40E3"/>
    <w:multiLevelType w:val="hybridMultilevel"/>
    <w:tmpl w:val="0232747E"/>
    <w:lvl w:ilvl="0" w:tplc="6936C714">
      <w:start w:val="30"/>
      <w:numFmt w:val="decimal"/>
      <w:lvlText w:val="%1"/>
      <w:lvlJc w:val="left"/>
      <w:pPr>
        <w:ind w:left="320" w:hanging="520"/>
      </w:pPr>
      <w:rPr>
        <w:rFonts w:ascii="Times New Roman" w:eastAsia="Times New Roman" w:hAnsi="Times New Roman" w:cs="Times New Roman" w:hint="default"/>
        <w:color w:val="231F20"/>
        <w:spacing w:val="-28"/>
        <w:w w:val="98"/>
        <w:sz w:val="22"/>
        <w:szCs w:val="22"/>
      </w:rPr>
    </w:lvl>
    <w:lvl w:ilvl="1" w:tplc="D19CE2BA">
      <w:numFmt w:val="bullet"/>
      <w:lvlText w:val="•"/>
      <w:lvlJc w:val="left"/>
      <w:pPr>
        <w:ind w:left="646" w:hanging="520"/>
      </w:pPr>
      <w:rPr>
        <w:rFonts w:hint="default"/>
      </w:rPr>
    </w:lvl>
    <w:lvl w:ilvl="2" w:tplc="8DC2E168">
      <w:numFmt w:val="bullet"/>
      <w:lvlText w:val="•"/>
      <w:lvlJc w:val="left"/>
      <w:pPr>
        <w:ind w:left="972" w:hanging="520"/>
      </w:pPr>
      <w:rPr>
        <w:rFonts w:hint="default"/>
      </w:rPr>
    </w:lvl>
    <w:lvl w:ilvl="3" w:tplc="F5E60330">
      <w:numFmt w:val="bullet"/>
      <w:lvlText w:val="•"/>
      <w:lvlJc w:val="left"/>
      <w:pPr>
        <w:ind w:left="1298" w:hanging="520"/>
      </w:pPr>
      <w:rPr>
        <w:rFonts w:hint="default"/>
      </w:rPr>
    </w:lvl>
    <w:lvl w:ilvl="4" w:tplc="BBC4F4CC">
      <w:numFmt w:val="bullet"/>
      <w:lvlText w:val="•"/>
      <w:lvlJc w:val="left"/>
      <w:pPr>
        <w:ind w:left="1624" w:hanging="520"/>
      </w:pPr>
      <w:rPr>
        <w:rFonts w:hint="default"/>
      </w:rPr>
    </w:lvl>
    <w:lvl w:ilvl="5" w:tplc="DBFA950C">
      <w:numFmt w:val="bullet"/>
      <w:lvlText w:val="•"/>
      <w:lvlJc w:val="left"/>
      <w:pPr>
        <w:ind w:left="1951" w:hanging="520"/>
      </w:pPr>
      <w:rPr>
        <w:rFonts w:hint="default"/>
      </w:rPr>
    </w:lvl>
    <w:lvl w:ilvl="6" w:tplc="7B421488">
      <w:numFmt w:val="bullet"/>
      <w:lvlText w:val="•"/>
      <w:lvlJc w:val="left"/>
      <w:pPr>
        <w:ind w:left="2277" w:hanging="520"/>
      </w:pPr>
      <w:rPr>
        <w:rFonts w:hint="default"/>
      </w:rPr>
    </w:lvl>
    <w:lvl w:ilvl="7" w:tplc="E95285E2">
      <w:numFmt w:val="bullet"/>
      <w:lvlText w:val="•"/>
      <w:lvlJc w:val="left"/>
      <w:pPr>
        <w:ind w:left="2603" w:hanging="520"/>
      </w:pPr>
      <w:rPr>
        <w:rFonts w:hint="default"/>
      </w:rPr>
    </w:lvl>
    <w:lvl w:ilvl="8" w:tplc="94DC267E">
      <w:numFmt w:val="bullet"/>
      <w:lvlText w:val="•"/>
      <w:lvlJc w:val="left"/>
      <w:pPr>
        <w:ind w:left="2929" w:hanging="520"/>
      </w:pPr>
      <w:rPr>
        <w:rFonts w:hint="default"/>
      </w:rPr>
    </w:lvl>
  </w:abstractNum>
  <w:abstractNum w:abstractNumId="18">
    <w:nsid w:val="5CE761AD"/>
    <w:multiLevelType w:val="hybridMultilevel"/>
    <w:tmpl w:val="FFF87722"/>
    <w:lvl w:ilvl="0" w:tplc="ADDC558C">
      <w:start w:val="35"/>
      <w:numFmt w:val="decimal"/>
      <w:lvlText w:val="%1"/>
      <w:lvlJc w:val="left"/>
      <w:pPr>
        <w:ind w:left="840" w:hanging="520"/>
      </w:pPr>
      <w:rPr>
        <w:rFonts w:ascii="Times New Roman" w:eastAsia="Times New Roman" w:hAnsi="Times New Roman" w:cs="Times New Roman" w:hint="default"/>
        <w:color w:val="231F20"/>
        <w:spacing w:val="-1"/>
        <w:w w:val="100"/>
        <w:sz w:val="22"/>
        <w:szCs w:val="22"/>
      </w:rPr>
    </w:lvl>
    <w:lvl w:ilvl="1" w:tplc="6EA6401A">
      <w:numFmt w:val="bullet"/>
      <w:lvlText w:val="•"/>
      <w:lvlJc w:val="left"/>
      <w:pPr>
        <w:ind w:left="1114" w:hanging="520"/>
      </w:pPr>
      <w:rPr>
        <w:rFonts w:hint="default"/>
      </w:rPr>
    </w:lvl>
    <w:lvl w:ilvl="2" w:tplc="8140E23E">
      <w:numFmt w:val="bullet"/>
      <w:lvlText w:val="•"/>
      <w:lvlJc w:val="left"/>
      <w:pPr>
        <w:ind w:left="1388" w:hanging="520"/>
      </w:pPr>
      <w:rPr>
        <w:rFonts w:hint="default"/>
      </w:rPr>
    </w:lvl>
    <w:lvl w:ilvl="3" w:tplc="1D34B2A4">
      <w:numFmt w:val="bullet"/>
      <w:lvlText w:val="•"/>
      <w:lvlJc w:val="left"/>
      <w:pPr>
        <w:ind w:left="1662" w:hanging="520"/>
      </w:pPr>
      <w:rPr>
        <w:rFonts w:hint="default"/>
      </w:rPr>
    </w:lvl>
    <w:lvl w:ilvl="4" w:tplc="CCE4F02C">
      <w:numFmt w:val="bullet"/>
      <w:lvlText w:val="•"/>
      <w:lvlJc w:val="left"/>
      <w:pPr>
        <w:ind w:left="1936" w:hanging="520"/>
      </w:pPr>
      <w:rPr>
        <w:rFonts w:hint="default"/>
      </w:rPr>
    </w:lvl>
    <w:lvl w:ilvl="5" w:tplc="84B49102">
      <w:numFmt w:val="bullet"/>
      <w:lvlText w:val="•"/>
      <w:lvlJc w:val="left"/>
      <w:pPr>
        <w:ind w:left="2210" w:hanging="520"/>
      </w:pPr>
      <w:rPr>
        <w:rFonts w:hint="default"/>
      </w:rPr>
    </w:lvl>
    <w:lvl w:ilvl="6" w:tplc="88024146">
      <w:numFmt w:val="bullet"/>
      <w:lvlText w:val="•"/>
      <w:lvlJc w:val="left"/>
      <w:pPr>
        <w:ind w:left="2484" w:hanging="520"/>
      </w:pPr>
      <w:rPr>
        <w:rFonts w:hint="default"/>
      </w:rPr>
    </w:lvl>
    <w:lvl w:ilvl="7" w:tplc="75AA7514">
      <w:numFmt w:val="bullet"/>
      <w:lvlText w:val="•"/>
      <w:lvlJc w:val="left"/>
      <w:pPr>
        <w:ind w:left="2758" w:hanging="520"/>
      </w:pPr>
      <w:rPr>
        <w:rFonts w:hint="default"/>
      </w:rPr>
    </w:lvl>
    <w:lvl w:ilvl="8" w:tplc="19E60E0C">
      <w:numFmt w:val="bullet"/>
      <w:lvlText w:val="•"/>
      <w:lvlJc w:val="left"/>
      <w:pPr>
        <w:ind w:left="3032" w:hanging="520"/>
      </w:pPr>
      <w:rPr>
        <w:rFonts w:hint="default"/>
      </w:rPr>
    </w:lvl>
  </w:abstractNum>
  <w:abstractNum w:abstractNumId="19">
    <w:nsid w:val="6046387B"/>
    <w:multiLevelType w:val="hybridMultilevel"/>
    <w:tmpl w:val="052A7CC2"/>
    <w:lvl w:ilvl="0" w:tplc="A2669382">
      <w:start w:val="27"/>
      <w:numFmt w:val="decimal"/>
      <w:lvlText w:val="%1"/>
      <w:lvlJc w:val="left"/>
      <w:pPr>
        <w:ind w:left="320" w:hanging="520"/>
      </w:pPr>
      <w:rPr>
        <w:rFonts w:ascii="Times New Roman" w:eastAsia="Times New Roman" w:hAnsi="Times New Roman" w:cs="Times New Roman" w:hint="default"/>
        <w:color w:val="231F20"/>
        <w:spacing w:val="-18"/>
        <w:w w:val="100"/>
        <w:sz w:val="22"/>
        <w:szCs w:val="22"/>
      </w:rPr>
    </w:lvl>
    <w:lvl w:ilvl="1" w:tplc="51EA0924">
      <w:numFmt w:val="bullet"/>
      <w:lvlText w:val="•"/>
      <w:lvlJc w:val="left"/>
      <w:pPr>
        <w:ind w:left="654" w:hanging="520"/>
      </w:pPr>
      <w:rPr>
        <w:rFonts w:hint="default"/>
      </w:rPr>
    </w:lvl>
    <w:lvl w:ilvl="2" w:tplc="F46443C2">
      <w:numFmt w:val="bullet"/>
      <w:lvlText w:val="•"/>
      <w:lvlJc w:val="left"/>
      <w:pPr>
        <w:ind w:left="988" w:hanging="520"/>
      </w:pPr>
      <w:rPr>
        <w:rFonts w:hint="default"/>
      </w:rPr>
    </w:lvl>
    <w:lvl w:ilvl="3" w:tplc="CFCA30E8">
      <w:numFmt w:val="bullet"/>
      <w:lvlText w:val="•"/>
      <w:lvlJc w:val="left"/>
      <w:pPr>
        <w:ind w:left="1322" w:hanging="520"/>
      </w:pPr>
      <w:rPr>
        <w:rFonts w:hint="default"/>
      </w:rPr>
    </w:lvl>
    <w:lvl w:ilvl="4" w:tplc="A8A8D07A">
      <w:numFmt w:val="bullet"/>
      <w:lvlText w:val="•"/>
      <w:lvlJc w:val="left"/>
      <w:pPr>
        <w:ind w:left="1656" w:hanging="520"/>
      </w:pPr>
      <w:rPr>
        <w:rFonts w:hint="default"/>
      </w:rPr>
    </w:lvl>
    <w:lvl w:ilvl="5" w:tplc="7BB09EAE">
      <w:numFmt w:val="bullet"/>
      <w:lvlText w:val="•"/>
      <w:lvlJc w:val="left"/>
      <w:pPr>
        <w:ind w:left="1990" w:hanging="520"/>
      </w:pPr>
      <w:rPr>
        <w:rFonts w:hint="default"/>
      </w:rPr>
    </w:lvl>
    <w:lvl w:ilvl="6" w:tplc="28349830">
      <w:numFmt w:val="bullet"/>
      <w:lvlText w:val="•"/>
      <w:lvlJc w:val="left"/>
      <w:pPr>
        <w:ind w:left="2324" w:hanging="520"/>
      </w:pPr>
      <w:rPr>
        <w:rFonts w:hint="default"/>
      </w:rPr>
    </w:lvl>
    <w:lvl w:ilvl="7" w:tplc="D6BA41CA">
      <w:numFmt w:val="bullet"/>
      <w:lvlText w:val="•"/>
      <w:lvlJc w:val="left"/>
      <w:pPr>
        <w:ind w:left="2658" w:hanging="520"/>
      </w:pPr>
      <w:rPr>
        <w:rFonts w:hint="default"/>
      </w:rPr>
    </w:lvl>
    <w:lvl w:ilvl="8" w:tplc="61BA9A7E">
      <w:numFmt w:val="bullet"/>
      <w:lvlText w:val="•"/>
      <w:lvlJc w:val="left"/>
      <w:pPr>
        <w:ind w:left="2992" w:hanging="520"/>
      </w:pPr>
      <w:rPr>
        <w:rFonts w:hint="default"/>
      </w:rPr>
    </w:lvl>
  </w:abstractNum>
  <w:abstractNum w:abstractNumId="20">
    <w:nsid w:val="7C6046BF"/>
    <w:multiLevelType w:val="hybridMultilevel"/>
    <w:tmpl w:val="A522804C"/>
    <w:lvl w:ilvl="0" w:tplc="7D06E49A">
      <w:start w:val="6"/>
      <w:numFmt w:val="decimal"/>
      <w:lvlText w:val="%1"/>
      <w:lvlJc w:val="left"/>
      <w:pPr>
        <w:ind w:left="120" w:hanging="520"/>
      </w:pPr>
      <w:rPr>
        <w:rFonts w:hint="default"/>
        <w:spacing w:val="-18"/>
        <w:w w:val="100"/>
      </w:rPr>
    </w:lvl>
    <w:lvl w:ilvl="1" w:tplc="86D87CFC">
      <w:numFmt w:val="bullet"/>
      <w:lvlText w:val="•"/>
      <w:lvlJc w:val="left"/>
      <w:pPr>
        <w:ind w:left="466" w:hanging="520"/>
      </w:pPr>
      <w:rPr>
        <w:rFonts w:hint="default"/>
      </w:rPr>
    </w:lvl>
    <w:lvl w:ilvl="2" w:tplc="6936C792">
      <w:numFmt w:val="bullet"/>
      <w:lvlText w:val="•"/>
      <w:lvlJc w:val="left"/>
      <w:pPr>
        <w:ind w:left="812" w:hanging="520"/>
      </w:pPr>
      <w:rPr>
        <w:rFonts w:hint="default"/>
      </w:rPr>
    </w:lvl>
    <w:lvl w:ilvl="3" w:tplc="C1A0A7BA">
      <w:numFmt w:val="bullet"/>
      <w:lvlText w:val="•"/>
      <w:lvlJc w:val="left"/>
      <w:pPr>
        <w:ind w:left="1158" w:hanging="520"/>
      </w:pPr>
      <w:rPr>
        <w:rFonts w:hint="default"/>
      </w:rPr>
    </w:lvl>
    <w:lvl w:ilvl="4" w:tplc="00E6E64A">
      <w:numFmt w:val="bullet"/>
      <w:lvlText w:val="•"/>
      <w:lvlJc w:val="left"/>
      <w:pPr>
        <w:ind w:left="1504" w:hanging="520"/>
      </w:pPr>
      <w:rPr>
        <w:rFonts w:hint="default"/>
      </w:rPr>
    </w:lvl>
    <w:lvl w:ilvl="5" w:tplc="2C062F48">
      <w:numFmt w:val="bullet"/>
      <w:lvlText w:val="•"/>
      <w:lvlJc w:val="left"/>
      <w:pPr>
        <w:ind w:left="1851" w:hanging="520"/>
      </w:pPr>
      <w:rPr>
        <w:rFonts w:hint="default"/>
      </w:rPr>
    </w:lvl>
    <w:lvl w:ilvl="6" w:tplc="27AC5392">
      <w:numFmt w:val="bullet"/>
      <w:lvlText w:val="•"/>
      <w:lvlJc w:val="left"/>
      <w:pPr>
        <w:ind w:left="2197" w:hanging="520"/>
      </w:pPr>
      <w:rPr>
        <w:rFonts w:hint="default"/>
      </w:rPr>
    </w:lvl>
    <w:lvl w:ilvl="7" w:tplc="88C0B6C2">
      <w:numFmt w:val="bullet"/>
      <w:lvlText w:val="•"/>
      <w:lvlJc w:val="left"/>
      <w:pPr>
        <w:ind w:left="2543" w:hanging="520"/>
      </w:pPr>
      <w:rPr>
        <w:rFonts w:hint="default"/>
      </w:rPr>
    </w:lvl>
    <w:lvl w:ilvl="8" w:tplc="E2A807F0">
      <w:numFmt w:val="bullet"/>
      <w:lvlText w:val="•"/>
      <w:lvlJc w:val="left"/>
      <w:pPr>
        <w:ind w:left="2889" w:hanging="52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0"/>
  </w:num>
  <w:num w:numId="13">
    <w:abstractNumId w:val="14"/>
  </w:num>
  <w:num w:numId="14">
    <w:abstractNumId w:val="11"/>
  </w:num>
  <w:num w:numId="15">
    <w:abstractNumId w:val="18"/>
  </w:num>
  <w:num w:numId="16">
    <w:abstractNumId w:val="12"/>
  </w:num>
  <w:num w:numId="17">
    <w:abstractNumId w:val="20"/>
  </w:num>
  <w:num w:numId="18">
    <w:abstractNumId w:val="19"/>
  </w:num>
  <w:num w:numId="19">
    <w:abstractNumId w:val="13"/>
  </w:num>
  <w:num w:numId="20">
    <w:abstractNumId w:val="1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mirrorMargins/>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n-GB" w:vendorID="64" w:dllVersion="131078" w:nlCheck="1" w:checkStyle="1"/>
  <w:activeWritingStyle w:appName="MSWord" w:lang="en-IN"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25"/>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AA6"/>
    <w:rsid w:val="00000820"/>
    <w:rsid w:val="0000119A"/>
    <w:rsid w:val="0000186E"/>
    <w:rsid w:val="00001CF9"/>
    <w:rsid w:val="00002C19"/>
    <w:rsid w:val="00002DC3"/>
    <w:rsid w:val="0000349E"/>
    <w:rsid w:val="0000361A"/>
    <w:rsid w:val="000037F6"/>
    <w:rsid w:val="00003DCA"/>
    <w:rsid w:val="0000469B"/>
    <w:rsid w:val="000055F6"/>
    <w:rsid w:val="00006E0E"/>
    <w:rsid w:val="00010351"/>
    <w:rsid w:val="000103B9"/>
    <w:rsid w:val="00010451"/>
    <w:rsid w:val="0001061C"/>
    <w:rsid w:val="000106A1"/>
    <w:rsid w:val="0001081C"/>
    <w:rsid w:val="000111A8"/>
    <w:rsid w:val="0001175A"/>
    <w:rsid w:val="00011849"/>
    <w:rsid w:val="000122EA"/>
    <w:rsid w:val="000132B7"/>
    <w:rsid w:val="00013B47"/>
    <w:rsid w:val="00013DBB"/>
    <w:rsid w:val="000148CD"/>
    <w:rsid w:val="0001542A"/>
    <w:rsid w:val="00015E23"/>
    <w:rsid w:val="00015F04"/>
    <w:rsid w:val="00016D46"/>
    <w:rsid w:val="00020285"/>
    <w:rsid w:val="000205B9"/>
    <w:rsid w:val="00020A71"/>
    <w:rsid w:val="00020D29"/>
    <w:rsid w:val="00021682"/>
    <w:rsid w:val="00022AA6"/>
    <w:rsid w:val="0002341D"/>
    <w:rsid w:val="00024891"/>
    <w:rsid w:val="000248DC"/>
    <w:rsid w:val="0002510D"/>
    <w:rsid w:val="000252DB"/>
    <w:rsid w:val="00025B13"/>
    <w:rsid w:val="00025D2B"/>
    <w:rsid w:val="000263AD"/>
    <w:rsid w:val="00026713"/>
    <w:rsid w:val="000267B7"/>
    <w:rsid w:val="00026AFE"/>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C86"/>
    <w:rsid w:val="00036E0A"/>
    <w:rsid w:val="00037142"/>
    <w:rsid w:val="00037818"/>
    <w:rsid w:val="00037E4E"/>
    <w:rsid w:val="000407EF"/>
    <w:rsid w:val="00040F3D"/>
    <w:rsid w:val="00041292"/>
    <w:rsid w:val="00041560"/>
    <w:rsid w:val="0004204D"/>
    <w:rsid w:val="000422B5"/>
    <w:rsid w:val="000430A9"/>
    <w:rsid w:val="000430D6"/>
    <w:rsid w:val="00045275"/>
    <w:rsid w:val="0004654B"/>
    <w:rsid w:val="0004657C"/>
    <w:rsid w:val="000467CF"/>
    <w:rsid w:val="00046AB5"/>
    <w:rsid w:val="00046D14"/>
    <w:rsid w:val="000471C4"/>
    <w:rsid w:val="000500D6"/>
    <w:rsid w:val="000507C7"/>
    <w:rsid w:val="00050E14"/>
    <w:rsid w:val="000513D8"/>
    <w:rsid w:val="00051917"/>
    <w:rsid w:val="00051F68"/>
    <w:rsid w:val="00053C2B"/>
    <w:rsid w:val="00054426"/>
    <w:rsid w:val="00054468"/>
    <w:rsid w:val="000544B9"/>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303D"/>
    <w:rsid w:val="00063375"/>
    <w:rsid w:val="00064156"/>
    <w:rsid w:val="000642B1"/>
    <w:rsid w:val="0006487E"/>
    <w:rsid w:val="00064BD0"/>
    <w:rsid w:val="00065222"/>
    <w:rsid w:val="00065585"/>
    <w:rsid w:val="00066206"/>
    <w:rsid w:val="0006649C"/>
    <w:rsid w:val="00066DCE"/>
    <w:rsid w:val="000671A9"/>
    <w:rsid w:val="00067CC4"/>
    <w:rsid w:val="00067DEB"/>
    <w:rsid w:val="0007021D"/>
    <w:rsid w:val="00070AC5"/>
    <w:rsid w:val="00070AF8"/>
    <w:rsid w:val="00070BD7"/>
    <w:rsid w:val="000718B1"/>
    <w:rsid w:val="00071B91"/>
    <w:rsid w:val="00071D81"/>
    <w:rsid w:val="000726EC"/>
    <w:rsid w:val="00072B3E"/>
    <w:rsid w:val="00072E51"/>
    <w:rsid w:val="00073773"/>
    <w:rsid w:val="00074501"/>
    <w:rsid w:val="00074973"/>
    <w:rsid w:val="00074CF7"/>
    <w:rsid w:val="00075054"/>
    <w:rsid w:val="00077744"/>
    <w:rsid w:val="00077A4D"/>
    <w:rsid w:val="00077E3F"/>
    <w:rsid w:val="00080654"/>
    <w:rsid w:val="00080D48"/>
    <w:rsid w:val="00080EE4"/>
    <w:rsid w:val="00081B29"/>
    <w:rsid w:val="00082674"/>
    <w:rsid w:val="0008329D"/>
    <w:rsid w:val="0008493C"/>
    <w:rsid w:val="000852F3"/>
    <w:rsid w:val="00085847"/>
    <w:rsid w:val="00086059"/>
    <w:rsid w:val="00086796"/>
    <w:rsid w:val="00086C6E"/>
    <w:rsid w:val="00086EBA"/>
    <w:rsid w:val="00090232"/>
    <w:rsid w:val="00090DE8"/>
    <w:rsid w:val="00091371"/>
    <w:rsid w:val="00092616"/>
    <w:rsid w:val="00093182"/>
    <w:rsid w:val="00094955"/>
    <w:rsid w:val="00095DEA"/>
    <w:rsid w:val="0009605F"/>
    <w:rsid w:val="000962D9"/>
    <w:rsid w:val="00096430"/>
    <w:rsid w:val="00096A62"/>
    <w:rsid w:val="00097317"/>
    <w:rsid w:val="00097600"/>
    <w:rsid w:val="000978EC"/>
    <w:rsid w:val="000A092B"/>
    <w:rsid w:val="000A0F4E"/>
    <w:rsid w:val="000A199E"/>
    <w:rsid w:val="000A27BB"/>
    <w:rsid w:val="000A2F13"/>
    <w:rsid w:val="000A4032"/>
    <w:rsid w:val="000A40AD"/>
    <w:rsid w:val="000A431F"/>
    <w:rsid w:val="000A4566"/>
    <w:rsid w:val="000A53E4"/>
    <w:rsid w:val="000A6A56"/>
    <w:rsid w:val="000A6B95"/>
    <w:rsid w:val="000A7538"/>
    <w:rsid w:val="000A7629"/>
    <w:rsid w:val="000A763E"/>
    <w:rsid w:val="000A7666"/>
    <w:rsid w:val="000A7BB5"/>
    <w:rsid w:val="000A7D86"/>
    <w:rsid w:val="000B04D2"/>
    <w:rsid w:val="000B04DF"/>
    <w:rsid w:val="000B1924"/>
    <w:rsid w:val="000B2871"/>
    <w:rsid w:val="000B2A10"/>
    <w:rsid w:val="000B2CEE"/>
    <w:rsid w:val="000B2F10"/>
    <w:rsid w:val="000B4483"/>
    <w:rsid w:val="000B589E"/>
    <w:rsid w:val="000B5BA9"/>
    <w:rsid w:val="000B5C22"/>
    <w:rsid w:val="000B5D36"/>
    <w:rsid w:val="000C0883"/>
    <w:rsid w:val="000C0C85"/>
    <w:rsid w:val="000C2434"/>
    <w:rsid w:val="000C2658"/>
    <w:rsid w:val="000C2814"/>
    <w:rsid w:val="000C2AEE"/>
    <w:rsid w:val="000C3683"/>
    <w:rsid w:val="000C3CF3"/>
    <w:rsid w:val="000C57EF"/>
    <w:rsid w:val="000C5987"/>
    <w:rsid w:val="000C5B64"/>
    <w:rsid w:val="000C6AC5"/>
    <w:rsid w:val="000C77AB"/>
    <w:rsid w:val="000D06E4"/>
    <w:rsid w:val="000D0CE2"/>
    <w:rsid w:val="000D0E03"/>
    <w:rsid w:val="000D1040"/>
    <w:rsid w:val="000D31B4"/>
    <w:rsid w:val="000D3564"/>
    <w:rsid w:val="000D38CF"/>
    <w:rsid w:val="000D3E0B"/>
    <w:rsid w:val="000D44FB"/>
    <w:rsid w:val="000D495F"/>
    <w:rsid w:val="000D60F2"/>
    <w:rsid w:val="000D6FFB"/>
    <w:rsid w:val="000D7908"/>
    <w:rsid w:val="000E02D0"/>
    <w:rsid w:val="000E0426"/>
    <w:rsid w:val="000E0733"/>
    <w:rsid w:val="000E0C58"/>
    <w:rsid w:val="000E21ED"/>
    <w:rsid w:val="000E2E5B"/>
    <w:rsid w:val="000E37A4"/>
    <w:rsid w:val="000E47FC"/>
    <w:rsid w:val="000E546A"/>
    <w:rsid w:val="000E5760"/>
    <w:rsid w:val="000E5966"/>
    <w:rsid w:val="000E5B0C"/>
    <w:rsid w:val="000E5EC3"/>
    <w:rsid w:val="000E6494"/>
    <w:rsid w:val="000E687F"/>
    <w:rsid w:val="000E78C4"/>
    <w:rsid w:val="000F1030"/>
    <w:rsid w:val="000F14F1"/>
    <w:rsid w:val="000F2812"/>
    <w:rsid w:val="000F2C95"/>
    <w:rsid w:val="000F3FF1"/>
    <w:rsid w:val="000F60C3"/>
    <w:rsid w:val="000F68A1"/>
    <w:rsid w:val="000F752D"/>
    <w:rsid w:val="000F7AFA"/>
    <w:rsid w:val="000F7C79"/>
    <w:rsid w:val="001004B2"/>
    <w:rsid w:val="00100DA6"/>
    <w:rsid w:val="00101347"/>
    <w:rsid w:val="00101B31"/>
    <w:rsid w:val="00102319"/>
    <w:rsid w:val="00103021"/>
    <w:rsid w:val="001036CF"/>
    <w:rsid w:val="0010385E"/>
    <w:rsid w:val="00103F69"/>
    <w:rsid w:val="001047BB"/>
    <w:rsid w:val="00105689"/>
    <w:rsid w:val="0010568F"/>
    <w:rsid w:val="00105C1E"/>
    <w:rsid w:val="001069EB"/>
    <w:rsid w:val="001078A7"/>
    <w:rsid w:val="001079A5"/>
    <w:rsid w:val="001106E6"/>
    <w:rsid w:val="00110B60"/>
    <w:rsid w:val="001118BE"/>
    <w:rsid w:val="00111C7C"/>
    <w:rsid w:val="00113009"/>
    <w:rsid w:val="001134D5"/>
    <w:rsid w:val="00113A09"/>
    <w:rsid w:val="00115647"/>
    <w:rsid w:val="0011568A"/>
    <w:rsid w:val="001160D5"/>
    <w:rsid w:val="0011714E"/>
    <w:rsid w:val="00117554"/>
    <w:rsid w:val="001175A9"/>
    <w:rsid w:val="00117772"/>
    <w:rsid w:val="00117FC4"/>
    <w:rsid w:val="0012016F"/>
    <w:rsid w:val="001210A3"/>
    <w:rsid w:val="0012190D"/>
    <w:rsid w:val="00122261"/>
    <w:rsid w:val="00122B2E"/>
    <w:rsid w:val="0012336A"/>
    <w:rsid w:val="0012344C"/>
    <w:rsid w:val="001238D8"/>
    <w:rsid w:val="00123B2D"/>
    <w:rsid w:val="00124356"/>
    <w:rsid w:val="0012680A"/>
    <w:rsid w:val="001275A6"/>
    <w:rsid w:val="001309CE"/>
    <w:rsid w:val="00130D5B"/>
    <w:rsid w:val="00130DCE"/>
    <w:rsid w:val="0013106A"/>
    <w:rsid w:val="00131715"/>
    <w:rsid w:val="00131964"/>
    <w:rsid w:val="0013331D"/>
    <w:rsid w:val="001364AF"/>
    <w:rsid w:val="0013716C"/>
    <w:rsid w:val="0013728A"/>
    <w:rsid w:val="001372E7"/>
    <w:rsid w:val="00137306"/>
    <w:rsid w:val="00137905"/>
    <w:rsid w:val="00137940"/>
    <w:rsid w:val="001404F2"/>
    <w:rsid w:val="001411E5"/>
    <w:rsid w:val="00141C99"/>
    <w:rsid w:val="00142D43"/>
    <w:rsid w:val="00143C64"/>
    <w:rsid w:val="00143CCC"/>
    <w:rsid w:val="001443FB"/>
    <w:rsid w:val="00144FAF"/>
    <w:rsid w:val="0014535B"/>
    <w:rsid w:val="0014688E"/>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53E5"/>
    <w:rsid w:val="00156EF0"/>
    <w:rsid w:val="001578E7"/>
    <w:rsid w:val="0016048D"/>
    <w:rsid w:val="001604E5"/>
    <w:rsid w:val="00161966"/>
    <w:rsid w:val="00162084"/>
    <w:rsid w:val="00162249"/>
    <w:rsid w:val="00163070"/>
    <w:rsid w:val="00163338"/>
    <w:rsid w:val="00163D7C"/>
    <w:rsid w:val="00164399"/>
    <w:rsid w:val="00164E74"/>
    <w:rsid w:val="00164F75"/>
    <w:rsid w:val="0016668C"/>
    <w:rsid w:val="00167BC4"/>
    <w:rsid w:val="00167E48"/>
    <w:rsid w:val="00170386"/>
    <w:rsid w:val="00171D00"/>
    <w:rsid w:val="001723E8"/>
    <w:rsid w:val="00172582"/>
    <w:rsid w:val="001733E6"/>
    <w:rsid w:val="001734C9"/>
    <w:rsid w:val="001744EE"/>
    <w:rsid w:val="001748CE"/>
    <w:rsid w:val="00174BDD"/>
    <w:rsid w:val="00174C53"/>
    <w:rsid w:val="00175534"/>
    <w:rsid w:val="00175571"/>
    <w:rsid w:val="00175B51"/>
    <w:rsid w:val="00175E23"/>
    <w:rsid w:val="001775B1"/>
    <w:rsid w:val="00177704"/>
    <w:rsid w:val="00177B2F"/>
    <w:rsid w:val="0018110E"/>
    <w:rsid w:val="001816DE"/>
    <w:rsid w:val="00181753"/>
    <w:rsid w:val="001827E3"/>
    <w:rsid w:val="001831FD"/>
    <w:rsid w:val="001839B3"/>
    <w:rsid w:val="00183B9E"/>
    <w:rsid w:val="001845FC"/>
    <w:rsid w:val="001856C8"/>
    <w:rsid w:val="00186026"/>
    <w:rsid w:val="00186282"/>
    <w:rsid w:val="0018665C"/>
    <w:rsid w:val="00186CA3"/>
    <w:rsid w:val="00186EE6"/>
    <w:rsid w:val="00187434"/>
    <w:rsid w:val="00190866"/>
    <w:rsid w:val="00190C2C"/>
    <w:rsid w:val="001911A7"/>
    <w:rsid w:val="00191B9E"/>
    <w:rsid w:val="0019245D"/>
    <w:rsid w:val="00192826"/>
    <w:rsid w:val="001932DE"/>
    <w:rsid w:val="0019333E"/>
    <w:rsid w:val="00193541"/>
    <w:rsid w:val="00193788"/>
    <w:rsid w:val="00193D76"/>
    <w:rsid w:val="00194295"/>
    <w:rsid w:val="001943F8"/>
    <w:rsid w:val="001945C3"/>
    <w:rsid w:val="0019485F"/>
    <w:rsid w:val="0019526D"/>
    <w:rsid w:val="0019533A"/>
    <w:rsid w:val="00195759"/>
    <w:rsid w:val="0019724F"/>
    <w:rsid w:val="0019731B"/>
    <w:rsid w:val="00197879"/>
    <w:rsid w:val="001A0B6C"/>
    <w:rsid w:val="001A0FB1"/>
    <w:rsid w:val="001A1110"/>
    <w:rsid w:val="001A1124"/>
    <w:rsid w:val="001A16E0"/>
    <w:rsid w:val="001A1DFF"/>
    <w:rsid w:val="001A2A34"/>
    <w:rsid w:val="001A2CEF"/>
    <w:rsid w:val="001A3D15"/>
    <w:rsid w:val="001A6B4A"/>
    <w:rsid w:val="001B12D5"/>
    <w:rsid w:val="001B38D0"/>
    <w:rsid w:val="001B3F60"/>
    <w:rsid w:val="001B4747"/>
    <w:rsid w:val="001B4A1E"/>
    <w:rsid w:val="001B5FA3"/>
    <w:rsid w:val="001B69E8"/>
    <w:rsid w:val="001B7804"/>
    <w:rsid w:val="001C013B"/>
    <w:rsid w:val="001C0587"/>
    <w:rsid w:val="001C074A"/>
    <w:rsid w:val="001C0F13"/>
    <w:rsid w:val="001C11C4"/>
    <w:rsid w:val="001C1452"/>
    <w:rsid w:val="001C2CAE"/>
    <w:rsid w:val="001C3AE6"/>
    <w:rsid w:val="001C3F44"/>
    <w:rsid w:val="001C3FFB"/>
    <w:rsid w:val="001C4404"/>
    <w:rsid w:val="001C4EEF"/>
    <w:rsid w:val="001C4F32"/>
    <w:rsid w:val="001C6340"/>
    <w:rsid w:val="001C7343"/>
    <w:rsid w:val="001C75E0"/>
    <w:rsid w:val="001C7997"/>
    <w:rsid w:val="001D0AB7"/>
    <w:rsid w:val="001D0B42"/>
    <w:rsid w:val="001D2915"/>
    <w:rsid w:val="001D2A7D"/>
    <w:rsid w:val="001D34C0"/>
    <w:rsid w:val="001D37B7"/>
    <w:rsid w:val="001D3E7B"/>
    <w:rsid w:val="001D57C2"/>
    <w:rsid w:val="001D5D21"/>
    <w:rsid w:val="001D6133"/>
    <w:rsid w:val="001D634A"/>
    <w:rsid w:val="001D660E"/>
    <w:rsid w:val="001D6A89"/>
    <w:rsid w:val="001D701A"/>
    <w:rsid w:val="001D701D"/>
    <w:rsid w:val="001D78AA"/>
    <w:rsid w:val="001E0428"/>
    <w:rsid w:val="001E043E"/>
    <w:rsid w:val="001E15DA"/>
    <w:rsid w:val="001E2293"/>
    <w:rsid w:val="001E2DD7"/>
    <w:rsid w:val="001E3454"/>
    <w:rsid w:val="001E3A0C"/>
    <w:rsid w:val="001E3C53"/>
    <w:rsid w:val="001E4130"/>
    <w:rsid w:val="001E5032"/>
    <w:rsid w:val="001E5BC2"/>
    <w:rsid w:val="001E6064"/>
    <w:rsid w:val="001E6898"/>
    <w:rsid w:val="001E68E4"/>
    <w:rsid w:val="001E6C09"/>
    <w:rsid w:val="001E6C21"/>
    <w:rsid w:val="001E7832"/>
    <w:rsid w:val="001E7BAC"/>
    <w:rsid w:val="001F04A8"/>
    <w:rsid w:val="001F0A83"/>
    <w:rsid w:val="001F0A94"/>
    <w:rsid w:val="001F0FB7"/>
    <w:rsid w:val="001F1C2C"/>
    <w:rsid w:val="001F2815"/>
    <w:rsid w:val="001F2F51"/>
    <w:rsid w:val="001F3DC3"/>
    <w:rsid w:val="001F40DA"/>
    <w:rsid w:val="001F45C4"/>
    <w:rsid w:val="001F45E9"/>
    <w:rsid w:val="001F4912"/>
    <w:rsid w:val="001F4F20"/>
    <w:rsid w:val="001F4F98"/>
    <w:rsid w:val="001F541A"/>
    <w:rsid w:val="001F5B40"/>
    <w:rsid w:val="001F5DC2"/>
    <w:rsid w:val="001F61EE"/>
    <w:rsid w:val="001F6232"/>
    <w:rsid w:val="001F637A"/>
    <w:rsid w:val="002000A4"/>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139C"/>
    <w:rsid w:val="002118A7"/>
    <w:rsid w:val="00211BD8"/>
    <w:rsid w:val="00211BFA"/>
    <w:rsid w:val="00211E6F"/>
    <w:rsid w:val="00212323"/>
    <w:rsid w:val="0021276A"/>
    <w:rsid w:val="00212DB4"/>
    <w:rsid w:val="00213F64"/>
    <w:rsid w:val="002157EB"/>
    <w:rsid w:val="002158DC"/>
    <w:rsid w:val="00216A4C"/>
    <w:rsid w:val="002171E4"/>
    <w:rsid w:val="00220220"/>
    <w:rsid w:val="0022057D"/>
    <w:rsid w:val="00220945"/>
    <w:rsid w:val="00222097"/>
    <w:rsid w:val="00222E2F"/>
    <w:rsid w:val="00223543"/>
    <w:rsid w:val="00223FBD"/>
    <w:rsid w:val="00224244"/>
    <w:rsid w:val="002246D8"/>
    <w:rsid w:val="00224837"/>
    <w:rsid w:val="00224ACB"/>
    <w:rsid w:val="00224D87"/>
    <w:rsid w:val="00225330"/>
    <w:rsid w:val="002254B2"/>
    <w:rsid w:val="0022599A"/>
    <w:rsid w:val="00225E1A"/>
    <w:rsid w:val="00226809"/>
    <w:rsid w:val="00227D30"/>
    <w:rsid w:val="0023060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6224"/>
    <w:rsid w:val="00236917"/>
    <w:rsid w:val="00236D9E"/>
    <w:rsid w:val="0024000F"/>
    <w:rsid w:val="00241A4E"/>
    <w:rsid w:val="00241AB4"/>
    <w:rsid w:val="00241AE4"/>
    <w:rsid w:val="002420CA"/>
    <w:rsid w:val="00242C66"/>
    <w:rsid w:val="00243269"/>
    <w:rsid w:val="00243A0E"/>
    <w:rsid w:val="00243F25"/>
    <w:rsid w:val="00245433"/>
    <w:rsid w:val="00245EDA"/>
    <w:rsid w:val="0024654F"/>
    <w:rsid w:val="002467ED"/>
    <w:rsid w:val="00246FD9"/>
    <w:rsid w:val="00247F82"/>
    <w:rsid w:val="00252435"/>
    <w:rsid w:val="00252B92"/>
    <w:rsid w:val="0025369F"/>
    <w:rsid w:val="0025413E"/>
    <w:rsid w:val="002541EF"/>
    <w:rsid w:val="0025463F"/>
    <w:rsid w:val="0025483B"/>
    <w:rsid w:val="0025653D"/>
    <w:rsid w:val="0025665D"/>
    <w:rsid w:val="002568AD"/>
    <w:rsid w:val="00256C72"/>
    <w:rsid w:val="00256C80"/>
    <w:rsid w:val="0026164B"/>
    <w:rsid w:val="00261C48"/>
    <w:rsid w:val="00261E1A"/>
    <w:rsid w:val="00261EBA"/>
    <w:rsid w:val="00262AB8"/>
    <w:rsid w:val="002632E3"/>
    <w:rsid w:val="00264824"/>
    <w:rsid w:val="00264B27"/>
    <w:rsid w:val="00264E0A"/>
    <w:rsid w:val="00265059"/>
    <w:rsid w:val="00265727"/>
    <w:rsid w:val="00265C64"/>
    <w:rsid w:val="002663B7"/>
    <w:rsid w:val="002668B6"/>
    <w:rsid w:val="00267BFC"/>
    <w:rsid w:val="00267C6D"/>
    <w:rsid w:val="0027035D"/>
    <w:rsid w:val="00271AB1"/>
    <w:rsid w:val="00271B7E"/>
    <w:rsid w:val="0027268E"/>
    <w:rsid w:val="00272888"/>
    <w:rsid w:val="00273580"/>
    <w:rsid w:val="002736CE"/>
    <w:rsid w:val="00274282"/>
    <w:rsid w:val="00274420"/>
    <w:rsid w:val="0027443D"/>
    <w:rsid w:val="002746A6"/>
    <w:rsid w:val="00274EED"/>
    <w:rsid w:val="00274F79"/>
    <w:rsid w:val="00275136"/>
    <w:rsid w:val="0027585C"/>
    <w:rsid w:val="00275918"/>
    <w:rsid w:val="00275D80"/>
    <w:rsid w:val="00275FFD"/>
    <w:rsid w:val="00276081"/>
    <w:rsid w:val="0027621E"/>
    <w:rsid w:val="0027671F"/>
    <w:rsid w:val="0027729B"/>
    <w:rsid w:val="0027754D"/>
    <w:rsid w:val="00277BE5"/>
    <w:rsid w:val="002806A5"/>
    <w:rsid w:val="00281186"/>
    <w:rsid w:val="0028189D"/>
    <w:rsid w:val="002831B9"/>
    <w:rsid w:val="00284277"/>
    <w:rsid w:val="002842B1"/>
    <w:rsid w:val="00284574"/>
    <w:rsid w:val="00285BD1"/>
    <w:rsid w:val="002860AC"/>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5270"/>
    <w:rsid w:val="0029571D"/>
    <w:rsid w:val="002958EB"/>
    <w:rsid w:val="00295AF7"/>
    <w:rsid w:val="0029638E"/>
    <w:rsid w:val="002964B1"/>
    <w:rsid w:val="002967A4"/>
    <w:rsid w:val="00297676"/>
    <w:rsid w:val="002978DA"/>
    <w:rsid w:val="00297BF2"/>
    <w:rsid w:val="00297E5D"/>
    <w:rsid w:val="002A1098"/>
    <w:rsid w:val="002A194A"/>
    <w:rsid w:val="002A1D4C"/>
    <w:rsid w:val="002A274F"/>
    <w:rsid w:val="002A2D63"/>
    <w:rsid w:val="002A2F83"/>
    <w:rsid w:val="002A41DC"/>
    <w:rsid w:val="002A4258"/>
    <w:rsid w:val="002A4A1B"/>
    <w:rsid w:val="002A5CB6"/>
    <w:rsid w:val="002A5D59"/>
    <w:rsid w:val="002A5D64"/>
    <w:rsid w:val="002A60A4"/>
    <w:rsid w:val="002A75D8"/>
    <w:rsid w:val="002A7FFD"/>
    <w:rsid w:val="002B0149"/>
    <w:rsid w:val="002B0724"/>
    <w:rsid w:val="002B0BA6"/>
    <w:rsid w:val="002B0F67"/>
    <w:rsid w:val="002B1E42"/>
    <w:rsid w:val="002B1FBD"/>
    <w:rsid w:val="002B23F3"/>
    <w:rsid w:val="002B2AAB"/>
    <w:rsid w:val="002B45AB"/>
    <w:rsid w:val="002B524D"/>
    <w:rsid w:val="002B6DD1"/>
    <w:rsid w:val="002B721D"/>
    <w:rsid w:val="002B7289"/>
    <w:rsid w:val="002B74AD"/>
    <w:rsid w:val="002B7B7B"/>
    <w:rsid w:val="002C00E4"/>
    <w:rsid w:val="002C011D"/>
    <w:rsid w:val="002C0615"/>
    <w:rsid w:val="002C09FC"/>
    <w:rsid w:val="002C0AAB"/>
    <w:rsid w:val="002C0ED2"/>
    <w:rsid w:val="002C1C3C"/>
    <w:rsid w:val="002C2ED1"/>
    <w:rsid w:val="002C3850"/>
    <w:rsid w:val="002C3C52"/>
    <w:rsid w:val="002C4A91"/>
    <w:rsid w:val="002C50F7"/>
    <w:rsid w:val="002C5A3F"/>
    <w:rsid w:val="002C78C3"/>
    <w:rsid w:val="002C7D3F"/>
    <w:rsid w:val="002C7E95"/>
    <w:rsid w:val="002D06FC"/>
    <w:rsid w:val="002D2714"/>
    <w:rsid w:val="002D2C5A"/>
    <w:rsid w:val="002D2E8C"/>
    <w:rsid w:val="002D3EEE"/>
    <w:rsid w:val="002D4594"/>
    <w:rsid w:val="002D4C0D"/>
    <w:rsid w:val="002D54C9"/>
    <w:rsid w:val="002D5516"/>
    <w:rsid w:val="002D5B0B"/>
    <w:rsid w:val="002D5E19"/>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6D01"/>
    <w:rsid w:val="002E723E"/>
    <w:rsid w:val="002E72ED"/>
    <w:rsid w:val="002E73DF"/>
    <w:rsid w:val="002E7943"/>
    <w:rsid w:val="002E7BAA"/>
    <w:rsid w:val="002F1234"/>
    <w:rsid w:val="002F15D4"/>
    <w:rsid w:val="002F1EB9"/>
    <w:rsid w:val="002F2254"/>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3204"/>
    <w:rsid w:val="003040B7"/>
    <w:rsid w:val="0030423F"/>
    <w:rsid w:val="003053EF"/>
    <w:rsid w:val="00305654"/>
    <w:rsid w:val="00307701"/>
    <w:rsid w:val="00310059"/>
    <w:rsid w:val="00310AB7"/>
    <w:rsid w:val="00312065"/>
    <w:rsid w:val="00313445"/>
    <w:rsid w:val="003139E1"/>
    <w:rsid w:val="003143A3"/>
    <w:rsid w:val="00315239"/>
    <w:rsid w:val="00315C94"/>
    <w:rsid w:val="00316563"/>
    <w:rsid w:val="00316EDF"/>
    <w:rsid w:val="00317184"/>
    <w:rsid w:val="00317E47"/>
    <w:rsid w:val="003202CF"/>
    <w:rsid w:val="00320417"/>
    <w:rsid w:val="0032075D"/>
    <w:rsid w:val="003209EC"/>
    <w:rsid w:val="00321123"/>
    <w:rsid w:val="00321CF2"/>
    <w:rsid w:val="00322350"/>
    <w:rsid w:val="00323CAC"/>
    <w:rsid w:val="00323FC4"/>
    <w:rsid w:val="00324466"/>
    <w:rsid w:val="0032549A"/>
    <w:rsid w:val="00326400"/>
    <w:rsid w:val="00326F4D"/>
    <w:rsid w:val="00330C05"/>
    <w:rsid w:val="00330DC6"/>
    <w:rsid w:val="00331954"/>
    <w:rsid w:val="00331CF9"/>
    <w:rsid w:val="00334051"/>
    <w:rsid w:val="003354D5"/>
    <w:rsid w:val="0033553B"/>
    <w:rsid w:val="003357BA"/>
    <w:rsid w:val="00335837"/>
    <w:rsid w:val="003361CE"/>
    <w:rsid w:val="00336CFD"/>
    <w:rsid w:val="00337CC1"/>
    <w:rsid w:val="0034086B"/>
    <w:rsid w:val="003421D9"/>
    <w:rsid w:val="003432B1"/>
    <w:rsid w:val="003436DB"/>
    <w:rsid w:val="00343BCD"/>
    <w:rsid w:val="0034454F"/>
    <w:rsid w:val="00344ACD"/>
    <w:rsid w:val="00344F62"/>
    <w:rsid w:val="00344FA3"/>
    <w:rsid w:val="00345116"/>
    <w:rsid w:val="003451C0"/>
    <w:rsid w:val="00345AA1"/>
    <w:rsid w:val="00346899"/>
    <w:rsid w:val="00346E06"/>
    <w:rsid w:val="00347117"/>
    <w:rsid w:val="0034758D"/>
    <w:rsid w:val="0035062E"/>
    <w:rsid w:val="003507AB"/>
    <w:rsid w:val="00350991"/>
    <w:rsid w:val="00350ADC"/>
    <w:rsid w:val="00350BF7"/>
    <w:rsid w:val="00350DC3"/>
    <w:rsid w:val="003513CC"/>
    <w:rsid w:val="00351615"/>
    <w:rsid w:val="00351815"/>
    <w:rsid w:val="00351F7E"/>
    <w:rsid w:val="003529FD"/>
    <w:rsid w:val="00353F03"/>
    <w:rsid w:val="00354745"/>
    <w:rsid w:val="00354BDE"/>
    <w:rsid w:val="00354F22"/>
    <w:rsid w:val="0035510E"/>
    <w:rsid w:val="00355C4E"/>
    <w:rsid w:val="00355F03"/>
    <w:rsid w:val="00355F44"/>
    <w:rsid w:val="003564E7"/>
    <w:rsid w:val="00356FE6"/>
    <w:rsid w:val="0035741C"/>
    <w:rsid w:val="0035794B"/>
    <w:rsid w:val="003608B8"/>
    <w:rsid w:val="00360E1A"/>
    <w:rsid w:val="00361CC1"/>
    <w:rsid w:val="00361E09"/>
    <w:rsid w:val="00362110"/>
    <w:rsid w:val="003626DA"/>
    <w:rsid w:val="00362895"/>
    <w:rsid w:val="00362A99"/>
    <w:rsid w:val="00363907"/>
    <w:rsid w:val="00364D54"/>
    <w:rsid w:val="00364F84"/>
    <w:rsid w:val="00366CC0"/>
    <w:rsid w:val="0036718C"/>
    <w:rsid w:val="003674BD"/>
    <w:rsid w:val="00367DB7"/>
    <w:rsid w:val="0037052D"/>
    <w:rsid w:val="003719B5"/>
    <w:rsid w:val="00371DB1"/>
    <w:rsid w:val="00371DF9"/>
    <w:rsid w:val="003721F2"/>
    <w:rsid w:val="003727CD"/>
    <w:rsid w:val="003730D5"/>
    <w:rsid w:val="00373ABA"/>
    <w:rsid w:val="003742D9"/>
    <w:rsid w:val="003747EE"/>
    <w:rsid w:val="00374E82"/>
    <w:rsid w:val="003755B7"/>
    <w:rsid w:val="00375611"/>
    <w:rsid w:val="003759E1"/>
    <w:rsid w:val="00376DE7"/>
    <w:rsid w:val="00377BA6"/>
    <w:rsid w:val="00377CE7"/>
    <w:rsid w:val="00377D03"/>
    <w:rsid w:val="00377F9D"/>
    <w:rsid w:val="00380B49"/>
    <w:rsid w:val="00381517"/>
    <w:rsid w:val="0038175B"/>
    <w:rsid w:val="00381AB3"/>
    <w:rsid w:val="00381C17"/>
    <w:rsid w:val="00381F89"/>
    <w:rsid w:val="0038334F"/>
    <w:rsid w:val="00384277"/>
    <w:rsid w:val="00384995"/>
    <w:rsid w:val="00384DEA"/>
    <w:rsid w:val="00385281"/>
    <w:rsid w:val="003857A3"/>
    <w:rsid w:val="00385DFE"/>
    <w:rsid w:val="00386019"/>
    <w:rsid w:val="0038624B"/>
    <w:rsid w:val="0038708B"/>
    <w:rsid w:val="003871F5"/>
    <w:rsid w:val="003872BC"/>
    <w:rsid w:val="00387917"/>
    <w:rsid w:val="00387A6A"/>
    <w:rsid w:val="003909AD"/>
    <w:rsid w:val="00390BA3"/>
    <w:rsid w:val="00390C51"/>
    <w:rsid w:val="003916EE"/>
    <w:rsid w:val="00391837"/>
    <w:rsid w:val="00391CC1"/>
    <w:rsid w:val="00392638"/>
    <w:rsid w:val="00393197"/>
    <w:rsid w:val="0039329F"/>
    <w:rsid w:val="003943D2"/>
    <w:rsid w:val="003947CE"/>
    <w:rsid w:val="003949C0"/>
    <w:rsid w:val="00394D01"/>
    <w:rsid w:val="0039502E"/>
    <w:rsid w:val="00396E11"/>
    <w:rsid w:val="003971AA"/>
    <w:rsid w:val="00397460"/>
    <w:rsid w:val="003974A0"/>
    <w:rsid w:val="003975BA"/>
    <w:rsid w:val="0039790A"/>
    <w:rsid w:val="003A2513"/>
    <w:rsid w:val="003A3CAF"/>
    <w:rsid w:val="003A5D71"/>
    <w:rsid w:val="003A6B05"/>
    <w:rsid w:val="003A6C64"/>
    <w:rsid w:val="003A6C95"/>
    <w:rsid w:val="003A7149"/>
    <w:rsid w:val="003A7456"/>
    <w:rsid w:val="003A77F8"/>
    <w:rsid w:val="003B02F9"/>
    <w:rsid w:val="003B0D13"/>
    <w:rsid w:val="003B0DD3"/>
    <w:rsid w:val="003B148C"/>
    <w:rsid w:val="003B20B3"/>
    <w:rsid w:val="003B256E"/>
    <w:rsid w:val="003B3B3B"/>
    <w:rsid w:val="003B3F4B"/>
    <w:rsid w:val="003B40DC"/>
    <w:rsid w:val="003B4A4A"/>
    <w:rsid w:val="003B4E88"/>
    <w:rsid w:val="003B5215"/>
    <w:rsid w:val="003B5C2F"/>
    <w:rsid w:val="003B67AE"/>
    <w:rsid w:val="003B6EF4"/>
    <w:rsid w:val="003B7FF4"/>
    <w:rsid w:val="003C06A5"/>
    <w:rsid w:val="003C07EE"/>
    <w:rsid w:val="003C0B99"/>
    <w:rsid w:val="003C0B9E"/>
    <w:rsid w:val="003C1489"/>
    <w:rsid w:val="003C170F"/>
    <w:rsid w:val="003C2D9A"/>
    <w:rsid w:val="003C3881"/>
    <w:rsid w:val="003C43BA"/>
    <w:rsid w:val="003C52C2"/>
    <w:rsid w:val="003C54EE"/>
    <w:rsid w:val="003C5F05"/>
    <w:rsid w:val="003C6660"/>
    <w:rsid w:val="003C694A"/>
    <w:rsid w:val="003C69B2"/>
    <w:rsid w:val="003C7960"/>
    <w:rsid w:val="003D0280"/>
    <w:rsid w:val="003D05A7"/>
    <w:rsid w:val="003D091C"/>
    <w:rsid w:val="003D0A95"/>
    <w:rsid w:val="003D1536"/>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1AC1"/>
    <w:rsid w:val="003E27AC"/>
    <w:rsid w:val="003E28A9"/>
    <w:rsid w:val="003E2A41"/>
    <w:rsid w:val="003E3E56"/>
    <w:rsid w:val="003E429E"/>
    <w:rsid w:val="003E4404"/>
    <w:rsid w:val="003E4965"/>
    <w:rsid w:val="003E4D89"/>
    <w:rsid w:val="003E6B86"/>
    <w:rsid w:val="003E7789"/>
    <w:rsid w:val="003E78D0"/>
    <w:rsid w:val="003F040D"/>
    <w:rsid w:val="003F0EB8"/>
    <w:rsid w:val="003F0FDF"/>
    <w:rsid w:val="003F196E"/>
    <w:rsid w:val="003F1B21"/>
    <w:rsid w:val="003F1FB4"/>
    <w:rsid w:val="003F2578"/>
    <w:rsid w:val="003F2F84"/>
    <w:rsid w:val="003F3223"/>
    <w:rsid w:val="003F34D6"/>
    <w:rsid w:val="003F3A63"/>
    <w:rsid w:val="003F3AA6"/>
    <w:rsid w:val="003F419A"/>
    <w:rsid w:val="003F455E"/>
    <w:rsid w:val="003F5BA2"/>
    <w:rsid w:val="003F5C64"/>
    <w:rsid w:val="003F5C7D"/>
    <w:rsid w:val="003F5C87"/>
    <w:rsid w:val="003F6316"/>
    <w:rsid w:val="003F6381"/>
    <w:rsid w:val="003F6D89"/>
    <w:rsid w:val="003F76ED"/>
    <w:rsid w:val="00400186"/>
    <w:rsid w:val="004002D5"/>
    <w:rsid w:val="004008BE"/>
    <w:rsid w:val="00400948"/>
    <w:rsid w:val="0040134B"/>
    <w:rsid w:val="00401943"/>
    <w:rsid w:val="00401D53"/>
    <w:rsid w:val="00401FA7"/>
    <w:rsid w:val="004033FC"/>
    <w:rsid w:val="004049C0"/>
    <w:rsid w:val="00404D62"/>
    <w:rsid w:val="0040514B"/>
    <w:rsid w:val="00405770"/>
    <w:rsid w:val="00405A1D"/>
    <w:rsid w:val="00405D4E"/>
    <w:rsid w:val="0040722E"/>
    <w:rsid w:val="004105CA"/>
    <w:rsid w:val="0041181D"/>
    <w:rsid w:val="00412CE0"/>
    <w:rsid w:val="00413836"/>
    <w:rsid w:val="00413D9E"/>
    <w:rsid w:val="00414E59"/>
    <w:rsid w:val="004152FF"/>
    <w:rsid w:val="0041576C"/>
    <w:rsid w:val="00415D1E"/>
    <w:rsid w:val="00415DA2"/>
    <w:rsid w:val="00415DB2"/>
    <w:rsid w:val="00417205"/>
    <w:rsid w:val="0041799C"/>
    <w:rsid w:val="00417A90"/>
    <w:rsid w:val="00420BC1"/>
    <w:rsid w:val="00421CCE"/>
    <w:rsid w:val="0042270A"/>
    <w:rsid w:val="0042316C"/>
    <w:rsid w:val="00424A39"/>
    <w:rsid w:val="00425185"/>
    <w:rsid w:val="0042549C"/>
    <w:rsid w:val="004262B6"/>
    <w:rsid w:val="0042674C"/>
    <w:rsid w:val="00427093"/>
    <w:rsid w:val="00427D40"/>
    <w:rsid w:val="0043011E"/>
    <w:rsid w:val="00431441"/>
    <w:rsid w:val="00431CB7"/>
    <w:rsid w:val="0043201D"/>
    <w:rsid w:val="004322D1"/>
    <w:rsid w:val="00432B3D"/>
    <w:rsid w:val="00433502"/>
    <w:rsid w:val="0043475F"/>
    <w:rsid w:val="00434F6A"/>
    <w:rsid w:val="00434F77"/>
    <w:rsid w:val="00435996"/>
    <w:rsid w:val="00436ADE"/>
    <w:rsid w:val="00437325"/>
    <w:rsid w:val="0043780E"/>
    <w:rsid w:val="00441163"/>
    <w:rsid w:val="00441632"/>
    <w:rsid w:val="00441B50"/>
    <w:rsid w:val="00442190"/>
    <w:rsid w:val="004428FF"/>
    <w:rsid w:val="00442F10"/>
    <w:rsid w:val="00443041"/>
    <w:rsid w:val="00443189"/>
    <w:rsid w:val="004431A4"/>
    <w:rsid w:val="00443671"/>
    <w:rsid w:val="004439AD"/>
    <w:rsid w:val="00443A1E"/>
    <w:rsid w:val="0044425F"/>
    <w:rsid w:val="00444FFA"/>
    <w:rsid w:val="00445BA5"/>
    <w:rsid w:val="00445BF5"/>
    <w:rsid w:val="00446AE6"/>
    <w:rsid w:val="00446B59"/>
    <w:rsid w:val="00446F4D"/>
    <w:rsid w:val="004475BF"/>
    <w:rsid w:val="00447A03"/>
    <w:rsid w:val="00447A22"/>
    <w:rsid w:val="00447BD8"/>
    <w:rsid w:val="00450FCE"/>
    <w:rsid w:val="00451426"/>
    <w:rsid w:val="004527A9"/>
    <w:rsid w:val="00453848"/>
    <w:rsid w:val="00453A10"/>
    <w:rsid w:val="004543E2"/>
    <w:rsid w:val="00454980"/>
    <w:rsid w:val="00454FF5"/>
    <w:rsid w:val="00455131"/>
    <w:rsid w:val="00455E7B"/>
    <w:rsid w:val="0045611E"/>
    <w:rsid w:val="00456CD0"/>
    <w:rsid w:val="00460AD0"/>
    <w:rsid w:val="00460B7D"/>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C03"/>
    <w:rsid w:val="00466E06"/>
    <w:rsid w:val="00467A4A"/>
    <w:rsid w:val="00467B59"/>
    <w:rsid w:val="00467EDF"/>
    <w:rsid w:val="00470968"/>
    <w:rsid w:val="00470BFC"/>
    <w:rsid w:val="004712A0"/>
    <w:rsid w:val="004718E9"/>
    <w:rsid w:val="00471D9C"/>
    <w:rsid w:val="004721F3"/>
    <w:rsid w:val="00473FDD"/>
    <w:rsid w:val="0047413E"/>
    <w:rsid w:val="004741BA"/>
    <w:rsid w:val="004747C7"/>
    <w:rsid w:val="004755AF"/>
    <w:rsid w:val="004766C0"/>
    <w:rsid w:val="00476869"/>
    <w:rsid w:val="00477031"/>
    <w:rsid w:val="0047770F"/>
    <w:rsid w:val="00477C67"/>
    <w:rsid w:val="00482399"/>
    <w:rsid w:val="0048256C"/>
    <w:rsid w:val="00483CD9"/>
    <w:rsid w:val="00485B90"/>
    <w:rsid w:val="00485D5B"/>
    <w:rsid w:val="004874B8"/>
    <w:rsid w:val="00487842"/>
    <w:rsid w:val="0049130D"/>
    <w:rsid w:val="00491348"/>
    <w:rsid w:val="0049207C"/>
    <w:rsid w:val="00492F50"/>
    <w:rsid w:val="00494187"/>
    <w:rsid w:val="00494AE9"/>
    <w:rsid w:val="00495028"/>
    <w:rsid w:val="004950E2"/>
    <w:rsid w:val="004954D3"/>
    <w:rsid w:val="004955FB"/>
    <w:rsid w:val="00496A0D"/>
    <w:rsid w:val="0049734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3F78"/>
    <w:rsid w:val="004B4111"/>
    <w:rsid w:val="004B441D"/>
    <w:rsid w:val="004B4A39"/>
    <w:rsid w:val="004B5B15"/>
    <w:rsid w:val="004B6477"/>
    <w:rsid w:val="004B677E"/>
    <w:rsid w:val="004B7A8E"/>
    <w:rsid w:val="004C1F91"/>
    <w:rsid w:val="004C240F"/>
    <w:rsid w:val="004C2429"/>
    <w:rsid w:val="004C24F6"/>
    <w:rsid w:val="004C2612"/>
    <w:rsid w:val="004C2894"/>
    <w:rsid w:val="004C29F5"/>
    <w:rsid w:val="004C2BC6"/>
    <w:rsid w:val="004C3470"/>
    <w:rsid w:val="004C41FF"/>
    <w:rsid w:val="004C4B77"/>
    <w:rsid w:val="004C515A"/>
    <w:rsid w:val="004C55F6"/>
    <w:rsid w:val="004C583F"/>
    <w:rsid w:val="004C68D0"/>
    <w:rsid w:val="004C7180"/>
    <w:rsid w:val="004C750D"/>
    <w:rsid w:val="004C7809"/>
    <w:rsid w:val="004D1895"/>
    <w:rsid w:val="004D20F5"/>
    <w:rsid w:val="004D2C36"/>
    <w:rsid w:val="004D3A42"/>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7BC"/>
    <w:rsid w:val="004E2483"/>
    <w:rsid w:val="004E30E7"/>
    <w:rsid w:val="004E325F"/>
    <w:rsid w:val="004E33C5"/>
    <w:rsid w:val="004E3695"/>
    <w:rsid w:val="004E38FE"/>
    <w:rsid w:val="004E3A47"/>
    <w:rsid w:val="004E3FA6"/>
    <w:rsid w:val="004E476D"/>
    <w:rsid w:val="004E53FC"/>
    <w:rsid w:val="004E57BA"/>
    <w:rsid w:val="004E5DC8"/>
    <w:rsid w:val="004E6137"/>
    <w:rsid w:val="004E7426"/>
    <w:rsid w:val="004F0ED6"/>
    <w:rsid w:val="004F1AD0"/>
    <w:rsid w:val="004F1FAD"/>
    <w:rsid w:val="004F2870"/>
    <w:rsid w:val="004F2918"/>
    <w:rsid w:val="004F2A16"/>
    <w:rsid w:val="004F3E88"/>
    <w:rsid w:val="004F4671"/>
    <w:rsid w:val="004F47F2"/>
    <w:rsid w:val="004F5B14"/>
    <w:rsid w:val="004F5DDA"/>
    <w:rsid w:val="004F68B6"/>
    <w:rsid w:val="004F7564"/>
    <w:rsid w:val="005002F0"/>
    <w:rsid w:val="00500560"/>
    <w:rsid w:val="005007A7"/>
    <w:rsid w:val="00500A8B"/>
    <w:rsid w:val="00500F99"/>
    <w:rsid w:val="0050170F"/>
    <w:rsid w:val="00502C0B"/>
    <w:rsid w:val="00503430"/>
    <w:rsid w:val="005034B4"/>
    <w:rsid w:val="0050547C"/>
    <w:rsid w:val="00505851"/>
    <w:rsid w:val="005059C9"/>
    <w:rsid w:val="00506263"/>
    <w:rsid w:val="0050699A"/>
    <w:rsid w:val="005075E3"/>
    <w:rsid w:val="005111F6"/>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5C6"/>
    <w:rsid w:val="00523D7A"/>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3029E"/>
    <w:rsid w:val="005311A5"/>
    <w:rsid w:val="0053155B"/>
    <w:rsid w:val="005322AB"/>
    <w:rsid w:val="00533936"/>
    <w:rsid w:val="00533AAE"/>
    <w:rsid w:val="00536924"/>
    <w:rsid w:val="00536C66"/>
    <w:rsid w:val="00537DFE"/>
    <w:rsid w:val="00540275"/>
    <w:rsid w:val="0054027A"/>
    <w:rsid w:val="00540A20"/>
    <w:rsid w:val="00540D1E"/>
    <w:rsid w:val="00540D78"/>
    <w:rsid w:val="00541689"/>
    <w:rsid w:val="005420D7"/>
    <w:rsid w:val="00542278"/>
    <w:rsid w:val="005427EF"/>
    <w:rsid w:val="00542DB4"/>
    <w:rsid w:val="00543080"/>
    <w:rsid w:val="005430D0"/>
    <w:rsid w:val="005436F7"/>
    <w:rsid w:val="0054373F"/>
    <w:rsid w:val="0054381F"/>
    <w:rsid w:val="0054459A"/>
    <w:rsid w:val="00544827"/>
    <w:rsid w:val="00544904"/>
    <w:rsid w:val="0054520F"/>
    <w:rsid w:val="00545C45"/>
    <w:rsid w:val="00546139"/>
    <w:rsid w:val="00546AC1"/>
    <w:rsid w:val="00547230"/>
    <w:rsid w:val="005478C6"/>
    <w:rsid w:val="00551407"/>
    <w:rsid w:val="00553A70"/>
    <w:rsid w:val="00554073"/>
    <w:rsid w:val="0055429F"/>
    <w:rsid w:val="00554580"/>
    <w:rsid w:val="005553F6"/>
    <w:rsid w:val="005559CE"/>
    <w:rsid w:val="00555C32"/>
    <w:rsid w:val="00561511"/>
    <w:rsid w:val="0056158E"/>
    <w:rsid w:val="0056209E"/>
    <w:rsid w:val="00563B6F"/>
    <w:rsid w:val="00564A4F"/>
    <w:rsid w:val="00565185"/>
    <w:rsid w:val="005651F4"/>
    <w:rsid w:val="005654CD"/>
    <w:rsid w:val="00565705"/>
    <w:rsid w:val="00566036"/>
    <w:rsid w:val="0056681F"/>
    <w:rsid w:val="00566F6B"/>
    <w:rsid w:val="00567E3C"/>
    <w:rsid w:val="00570126"/>
    <w:rsid w:val="00570A85"/>
    <w:rsid w:val="00570F7F"/>
    <w:rsid w:val="0057106A"/>
    <w:rsid w:val="005718C8"/>
    <w:rsid w:val="00571A83"/>
    <w:rsid w:val="00571C4B"/>
    <w:rsid w:val="00571D5A"/>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17F0"/>
    <w:rsid w:val="0058180E"/>
    <w:rsid w:val="00582952"/>
    <w:rsid w:val="00582AA4"/>
    <w:rsid w:val="00583218"/>
    <w:rsid w:val="005832B6"/>
    <w:rsid w:val="00583743"/>
    <w:rsid w:val="0058440B"/>
    <w:rsid w:val="005847A7"/>
    <w:rsid w:val="0058484B"/>
    <w:rsid w:val="00585156"/>
    <w:rsid w:val="0058520C"/>
    <w:rsid w:val="0058631B"/>
    <w:rsid w:val="00586990"/>
    <w:rsid w:val="00587823"/>
    <w:rsid w:val="00590352"/>
    <w:rsid w:val="00590E35"/>
    <w:rsid w:val="00591194"/>
    <w:rsid w:val="005915D1"/>
    <w:rsid w:val="00591738"/>
    <w:rsid w:val="00591788"/>
    <w:rsid w:val="005919F8"/>
    <w:rsid w:val="00591F80"/>
    <w:rsid w:val="00592C49"/>
    <w:rsid w:val="00592E97"/>
    <w:rsid w:val="005939AC"/>
    <w:rsid w:val="00593BDF"/>
    <w:rsid w:val="00595B32"/>
    <w:rsid w:val="00596541"/>
    <w:rsid w:val="0059664F"/>
    <w:rsid w:val="00596CEB"/>
    <w:rsid w:val="005976E7"/>
    <w:rsid w:val="00597A66"/>
    <w:rsid w:val="005A03B1"/>
    <w:rsid w:val="005A105C"/>
    <w:rsid w:val="005A234D"/>
    <w:rsid w:val="005A49C6"/>
    <w:rsid w:val="005A4E8C"/>
    <w:rsid w:val="005A5435"/>
    <w:rsid w:val="005A7930"/>
    <w:rsid w:val="005A7D34"/>
    <w:rsid w:val="005B07E9"/>
    <w:rsid w:val="005B0DB2"/>
    <w:rsid w:val="005B117F"/>
    <w:rsid w:val="005B33D0"/>
    <w:rsid w:val="005B37F2"/>
    <w:rsid w:val="005B3B68"/>
    <w:rsid w:val="005B3F29"/>
    <w:rsid w:val="005B4803"/>
    <w:rsid w:val="005B4E76"/>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3DEB"/>
    <w:rsid w:val="005C40FA"/>
    <w:rsid w:val="005C5027"/>
    <w:rsid w:val="005C5534"/>
    <w:rsid w:val="005C5A2C"/>
    <w:rsid w:val="005C5E97"/>
    <w:rsid w:val="005C6C4E"/>
    <w:rsid w:val="005C6F4B"/>
    <w:rsid w:val="005C73DB"/>
    <w:rsid w:val="005C777D"/>
    <w:rsid w:val="005D058D"/>
    <w:rsid w:val="005D0BE2"/>
    <w:rsid w:val="005D245B"/>
    <w:rsid w:val="005D2F87"/>
    <w:rsid w:val="005D33F2"/>
    <w:rsid w:val="005D37DB"/>
    <w:rsid w:val="005D3DC6"/>
    <w:rsid w:val="005D3FED"/>
    <w:rsid w:val="005D4888"/>
    <w:rsid w:val="005D52EE"/>
    <w:rsid w:val="005D552E"/>
    <w:rsid w:val="005D5FE8"/>
    <w:rsid w:val="005D61FD"/>
    <w:rsid w:val="005D67EF"/>
    <w:rsid w:val="005D6FB9"/>
    <w:rsid w:val="005D70B1"/>
    <w:rsid w:val="005D71BE"/>
    <w:rsid w:val="005D71CA"/>
    <w:rsid w:val="005D7450"/>
    <w:rsid w:val="005E0BBC"/>
    <w:rsid w:val="005E0E6C"/>
    <w:rsid w:val="005E13A8"/>
    <w:rsid w:val="005E1D57"/>
    <w:rsid w:val="005E1FC7"/>
    <w:rsid w:val="005E20F8"/>
    <w:rsid w:val="005E232F"/>
    <w:rsid w:val="005E2578"/>
    <w:rsid w:val="005E264A"/>
    <w:rsid w:val="005E35FE"/>
    <w:rsid w:val="005E4678"/>
    <w:rsid w:val="005E4F8B"/>
    <w:rsid w:val="005E5671"/>
    <w:rsid w:val="005E5959"/>
    <w:rsid w:val="005E5F7B"/>
    <w:rsid w:val="005E62D0"/>
    <w:rsid w:val="005E6B8B"/>
    <w:rsid w:val="005E7A9B"/>
    <w:rsid w:val="005F01F2"/>
    <w:rsid w:val="005F1182"/>
    <w:rsid w:val="005F1506"/>
    <w:rsid w:val="005F1B1A"/>
    <w:rsid w:val="005F290C"/>
    <w:rsid w:val="005F2DC5"/>
    <w:rsid w:val="005F2ED5"/>
    <w:rsid w:val="005F30A3"/>
    <w:rsid w:val="005F30AA"/>
    <w:rsid w:val="005F39B7"/>
    <w:rsid w:val="005F3E38"/>
    <w:rsid w:val="005F4641"/>
    <w:rsid w:val="005F47F9"/>
    <w:rsid w:val="005F4C15"/>
    <w:rsid w:val="005F50DD"/>
    <w:rsid w:val="005F540A"/>
    <w:rsid w:val="005F6C76"/>
    <w:rsid w:val="005F6C9A"/>
    <w:rsid w:val="005F6CC9"/>
    <w:rsid w:val="005F79EE"/>
    <w:rsid w:val="005F7BB5"/>
    <w:rsid w:val="006000C4"/>
    <w:rsid w:val="00600578"/>
    <w:rsid w:val="00600C2B"/>
    <w:rsid w:val="00601DB1"/>
    <w:rsid w:val="00601E79"/>
    <w:rsid w:val="00602FB8"/>
    <w:rsid w:val="006033F9"/>
    <w:rsid w:val="00603D7C"/>
    <w:rsid w:val="006043B2"/>
    <w:rsid w:val="006046F5"/>
    <w:rsid w:val="00604F9F"/>
    <w:rsid w:val="00606ABF"/>
    <w:rsid w:val="00606ED3"/>
    <w:rsid w:val="00607749"/>
    <w:rsid w:val="00607B23"/>
    <w:rsid w:val="00607C9C"/>
    <w:rsid w:val="006104C9"/>
    <w:rsid w:val="0061093A"/>
    <w:rsid w:val="00610BB9"/>
    <w:rsid w:val="0061110B"/>
    <w:rsid w:val="00612650"/>
    <w:rsid w:val="00612E8D"/>
    <w:rsid w:val="00613288"/>
    <w:rsid w:val="006139FF"/>
    <w:rsid w:val="006143A3"/>
    <w:rsid w:val="0061440B"/>
    <w:rsid w:val="00614FE3"/>
    <w:rsid w:val="00616B4B"/>
    <w:rsid w:val="00621BA6"/>
    <w:rsid w:val="00621F09"/>
    <w:rsid w:val="006222ED"/>
    <w:rsid w:val="00622303"/>
    <w:rsid w:val="0062376C"/>
    <w:rsid w:val="0062395D"/>
    <w:rsid w:val="006239E1"/>
    <w:rsid w:val="006242FE"/>
    <w:rsid w:val="006245D1"/>
    <w:rsid w:val="00625834"/>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F5A"/>
    <w:rsid w:val="00633328"/>
    <w:rsid w:val="00634230"/>
    <w:rsid w:val="00635E25"/>
    <w:rsid w:val="00636593"/>
    <w:rsid w:val="00637805"/>
    <w:rsid w:val="0063797E"/>
    <w:rsid w:val="00637BA5"/>
    <w:rsid w:val="00640225"/>
    <w:rsid w:val="006403F3"/>
    <w:rsid w:val="00641033"/>
    <w:rsid w:val="00641138"/>
    <w:rsid w:val="006420DB"/>
    <w:rsid w:val="006423CF"/>
    <w:rsid w:val="006425C2"/>
    <w:rsid w:val="0064279B"/>
    <w:rsid w:val="00642DB6"/>
    <w:rsid w:val="0064315F"/>
    <w:rsid w:val="0064465D"/>
    <w:rsid w:val="006446C6"/>
    <w:rsid w:val="00644A7B"/>
    <w:rsid w:val="00644E6D"/>
    <w:rsid w:val="00645DD4"/>
    <w:rsid w:val="006472BB"/>
    <w:rsid w:val="006477AA"/>
    <w:rsid w:val="006513C1"/>
    <w:rsid w:val="006526CA"/>
    <w:rsid w:val="0065373E"/>
    <w:rsid w:val="00653EE4"/>
    <w:rsid w:val="00654341"/>
    <w:rsid w:val="00655ABC"/>
    <w:rsid w:val="00655EE1"/>
    <w:rsid w:val="0065610C"/>
    <w:rsid w:val="0065627D"/>
    <w:rsid w:val="00657975"/>
    <w:rsid w:val="00657E83"/>
    <w:rsid w:val="00657EF0"/>
    <w:rsid w:val="00660374"/>
    <w:rsid w:val="00661022"/>
    <w:rsid w:val="006612FC"/>
    <w:rsid w:val="00663830"/>
    <w:rsid w:val="00664E43"/>
    <w:rsid w:val="00665BAA"/>
    <w:rsid w:val="00665F51"/>
    <w:rsid w:val="0066637F"/>
    <w:rsid w:val="00666AC2"/>
    <w:rsid w:val="00666AEE"/>
    <w:rsid w:val="0066746C"/>
    <w:rsid w:val="00670419"/>
    <w:rsid w:val="00670BF6"/>
    <w:rsid w:val="00671068"/>
    <w:rsid w:val="006713E0"/>
    <w:rsid w:val="00671433"/>
    <w:rsid w:val="006720D4"/>
    <w:rsid w:val="00672840"/>
    <w:rsid w:val="00672BDB"/>
    <w:rsid w:val="00673BA5"/>
    <w:rsid w:val="00673C07"/>
    <w:rsid w:val="00673D56"/>
    <w:rsid w:val="006744D4"/>
    <w:rsid w:val="0067511B"/>
    <w:rsid w:val="00675229"/>
    <w:rsid w:val="00677024"/>
    <w:rsid w:val="00677F16"/>
    <w:rsid w:val="00680F44"/>
    <w:rsid w:val="00681670"/>
    <w:rsid w:val="0068167D"/>
    <w:rsid w:val="00682282"/>
    <w:rsid w:val="0068261D"/>
    <w:rsid w:val="00682B1A"/>
    <w:rsid w:val="00683AF0"/>
    <w:rsid w:val="0068493A"/>
    <w:rsid w:val="00684F0A"/>
    <w:rsid w:val="006857EA"/>
    <w:rsid w:val="00686416"/>
    <w:rsid w:val="00686D82"/>
    <w:rsid w:val="00686F27"/>
    <w:rsid w:val="0068725F"/>
    <w:rsid w:val="00687467"/>
    <w:rsid w:val="00687BE1"/>
    <w:rsid w:val="0069080E"/>
    <w:rsid w:val="00690984"/>
    <w:rsid w:val="00691BD0"/>
    <w:rsid w:val="006920C4"/>
    <w:rsid w:val="00693180"/>
    <w:rsid w:val="00693803"/>
    <w:rsid w:val="006938CC"/>
    <w:rsid w:val="00694937"/>
    <w:rsid w:val="00694CCB"/>
    <w:rsid w:val="006952BE"/>
    <w:rsid w:val="00695C4C"/>
    <w:rsid w:val="00696194"/>
    <w:rsid w:val="00696251"/>
    <w:rsid w:val="006968A6"/>
    <w:rsid w:val="00696CFE"/>
    <w:rsid w:val="006971DA"/>
    <w:rsid w:val="00697303"/>
    <w:rsid w:val="00697BE4"/>
    <w:rsid w:val="00697F0A"/>
    <w:rsid w:val="006A1256"/>
    <w:rsid w:val="006A1AA3"/>
    <w:rsid w:val="006A1BC0"/>
    <w:rsid w:val="006A200F"/>
    <w:rsid w:val="006A2891"/>
    <w:rsid w:val="006A28F5"/>
    <w:rsid w:val="006A33B4"/>
    <w:rsid w:val="006A364C"/>
    <w:rsid w:val="006A44E5"/>
    <w:rsid w:val="006A473D"/>
    <w:rsid w:val="006A47D3"/>
    <w:rsid w:val="006A50B1"/>
    <w:rsid w:val="006A796C"/>
    <w:rsid w:val="006A7AD0"/>
    <w:rsid w:val="006B0648"/>
    <w:rsid w:val="006B0ACD"/>
    <w:rsid w:val="006B124A"/>
    <w:rsid w:val="006B1333"/>
    <w:rsid w:val="006B1437"/>
    <w:rsid w:val="006B1AF6"/>
    <w:rsid w:val="006B2A55"/>
    <w:rsid w:val="006B2D6A"/>
    <w:rsid w:val="006B3B4F"/>
    <w:rsid w:val="006B440C"/>
    <w:rsid w:val="006B4433"/>
    <w:rsid w:val="006B4901"/>
    <w:rsid w:val="006B4D5D"/>
    <w:rsid w:val="006B6708"/>
    <w:rsid w:val="006B6AB9"/>
    <w:rsid w:val="006B6B63"/>
    <w:rsid w:val="006B79C8"/>
    <w:rsid w:val="006B7FDB"/>
    <w:rsid w:val="006C07C3"/>
    <w:rsid w:val="006C1504"/>
    <w:rsid w:val="006C1FB5"/>
    <w:rsid w:val="006C2725"/>
    <w:rsid w:val="006C2785"/>
    <w:rsid w:val="006C31B1"/>
    <w:rsid w:val="006C3310"/>
    <w:rsid w:val="006C4444"/>
    <w:rsid w:val="006C4A55"/>
    <w:rsid w:val="006C5130"/>
    <w:rsid w:val="006C54C3"/>
    <w:rsid w:val="006C54EB"/>
    <w:rsid w:val="006C69EC"/>
    <w:rsid w:val="006D0320"/>
    <w:rsid w:val="006D0E04"/>
    <w:rsid w:val="006D21BB"/>
    <w:rsid w:val="006D2DE5"/>
    <w:rsid w:val="006D3A6C"/>
    <w:rsid w:val="006D4016"/>
    <w:rsid w:val="006D5182"/>
    <w:rsid w:val="006D5259"/>
    <w:rsid w:val="006D58BA"/>
    <w:rsid w:val="006D6906"/>
    <w:rsid w:val="006D6E91"/>
    <w:rsid w:val="006D7925"/>
    <w:rsid w:val="006D7DE7"/>
    <w:rsid w:val="006E09DC"/>
    <w:rsid w:val="006E0A25"/>
    <w:rsid w:val="006E125C"/>
    <w:rsid w:val="006E132A"/>
    <w:rsid w:val="006E1792"/>
    <w:rsid w:val="006E19D3"/>
    <w:rsid w:val="006E1FE9"/>
    <w:rsid w:val="006E2369"/>
    <w:rsid w:val="006E274D"/>
    <w:rsid w:val="006E31ED"/>
    <w:rsid w:val="006E41B5"/>
    <w:rsid w:val="006E4D79"/>
    <w:rsid w:val="006E5841"/>
    <w:rsid w:val="006E6BBC"/>
    <w:rsid w:val="006E6E40"/>
    <w:rsid w:val="006E70D2"/>
    <w:rsid w:val="006F07C0"/>
    <w:rsid w:val="006F0AD7"/>
    <w:rsid w:val="006F121E"/>
    <w:rsid w:val="006F1494"/>
    <w:rsid w:val="006F2356"/>
    <w:rsid w:val="006F2B09"/>
    <w:rsid w:val="006F333A"/>
    <w:rsid w:val="006F4A71"/>
    <w:rsid w:val="006F55F7"/>
    <w:rsid w:val="006F63F8"/>
    <w:rsid w:val="006F6CC3"/>
    <w:rsid w:val="006F6E43"/>
    <w:rsid w:val="006F7082"/>
    <w:rsid w:val="006F70A2"/>
    <w:rsid w:val="006F72C8"/>
    <w:rsid w:val="006F7C0D"/>
    <w:rsid w:val="007009BA"/>
    <w:rsid w:val="0070156D"/>
    <w:rsid w:val="007016F9"/>
    <w:rsid w:val="00701AA3"/>
    <w:rsid w:val="0070206C"/>
    <w:rsid w:val="00702C3F"/>
    <w:rsid w:val="007030D2"/>
    <w:rsid w:val="00703400"/>
    <w:rsid w:val="00704046"/>
    <w:rsid w:val="0070414B"/>
    <w:rsid w:val="0070454C"/>
    <w:rsid w:val="0070563D"/>
    <w:rsid w:val="00705ACE"/>
    <w:rsid w:val="0070624C"/>
    <w:rsid w:val="007104B0"/>
    <w:rsid w:val="00710834"/>
    <w:rsid w:val="007109C6"/>
    <w:rsid w:val="00710DE6"/>
    <w:rsid w:val="007115E1"/>
    <w:rsid w:val="00711601"/>
    <w:rsid w:val="0071182B"/>
    <w:rsid w:val="00711E80"/>
    <w:rsid w:val="00712631"/>
    <w:rsid w:val="007130C5"/>
    <w:rsid w:val="00714DA7"/>
    <w:rsid w:val="0071537A"/>
    <w:rsid w:val="00715C7A"/>
    <w:rsid w:val="00716439"/>
    <w:rsid w:val="00717847"/>
    <w:rsid w:val="007204E4"/>
    <w:rsid w:val="007205F2"/>
    <w:rsid w:val="007207EB"/>
    <w:rsid w:val="00720826"/>
    <w:rsid w:val="00720962"/>
    <w:rsid w:val="00720E91"/>
    <w:rsid w:val="00722A80"/>
    <w:rsid w:val="00722AC0"/>
    <w:rsid w:val="007239A8"/>
    <w:rsid w:val="00723AE0"/>
    <w:rsid w:val="00723BE3"/>
    <w:rsid w:val="007253C3"/>
    <w:rsid w:val="00725459"/>
    <w:rsid w:val="00727718"/>
    <w:rsid w:val="00727E41"/>
    <w:rsid w:val="00727F74"/>
    <w:rsid w:val="007303C8"/>
    <w:rsid w:val="007306A6"/>
    <w:rsid w:val="007318B3"/>
    <w:rsid w:val="00731A13"/>
    <w:rsid w:val="00731BEE"/>
    <w:rsid w:val="0073312C"/>
    <w:rsid w:val="00733441"/>
    <w:rsid w:val="0073357A"/>
    <w:rsid w:val="007336A8"/>
    <w:rsid w:val="00734D5F"/>
    <w:rsid w:val="00734E34"/>
    <w:rsid w:val="0073610C"/>
    <w:rsid w:val="00736AE4"/>
    <w:rsid w:val="00737C13"/>
    <w:rsid w:val="00737DCB"/>
    <w:rsid w:val="00740ACC"/>
    <w:rsid w:val="00740C0E"/>
    <w:rsid w:val="007414E6"/>
    <w:rsid w:val="007417F0"/>
    <w:rsid w:val="00743373"/>
    <w:rsid w:val="0074339E"/>
    <w:rsid w:val="0074385B"/>
    <w:rsid w:val="00744CDA"/>
    <w:rsid w:val="00745244"/>
    <w:rsid w:val="00745370"/>
    <w:rsid w:val="00745D66"/>
    <w:rsid w:val="007468FF"/>
    <w:rsid w:val="00746E8B"/>
    <w:rsid w:val="00746FEA"/>
    <w:rsid w:val="007475E3"/>
    <w:rsid w:val="007477E1"/>
    <w:rsid w:val="007506BE"/>
    <w:rsid w:val="00750A00"/>
    <w:rsid w:val="007511CE"/>
    <w:rsid w:val="007523AF"/>
    <w:rsid w:val="007527A9"/>
    <w:rsid w:val="00752806"/>
    <w:rsid w:val="00752E4F"/>
    <w:rsid w:val="00752FC7"/>
    <w:rsid w:val="00753921"/>
    <w:rsid w:val="00753AA1"/>
    <w:rsid w:val="007543E3"/>
    <w:rsid w:val="00754E91"/>
    <w:rsid w:val="00755A63"/>
    <w:rsid w:val="00755BF8"/>
    <w:rsid w:val="0075639C"/>
    <w:rsid w:val="0075641B"/>
    <w:rsid w:val="00756FAF"/>
    <w:rsid w:val="00757752"/>
    <w:rsid w:val="00757EE9"/>
    <w:rsid w:val="00760936"/>
    <w:rsid w:val="00761C71"/>
    <w:rsid w:val="00762331"/>
    <w:rsid w:val="0076326C"/>
    <w:rsid w:val="007634D3"/>
    <w:rsid w:val="0076383B"/>
    <w:rsid w:val="00764379"/>
    <w:rsid w:val="00764996"/>
    <w:rsid w:val="0076592C"/>
    <w:rsid w:val="00765A83"/>
    <w:rsid w:val="0076625F"/>
    <w:rsid w:val="00766A5E"/>
    <w:rsid w:val="007676EC"/>
    <w:rsid w:val="00770BF4"/>
    <w:rsid w:val="007714E4"/>
    <w:rsid w:val="00771FE9"/>
    <w:rsid w:val="007725A5"/>
    <w:rsid w:val="007725C5"/>
    <w:rsid w:val="00773E61"/>
    <w:rsid w:val="00774182"/>
    <w:rsid w:val="00774CDC"/>
    <w:rsid w:val="00775635"/>
    <w:rsid w:val="007756B8"/>
    <w:rsid w:val="00775722"/>
    <w:rsid w:val="00775ECD"/>
    <w:rsid w:val="00775F64"/>
    <w:rsid w:val="00776109"/>
    <w:rsid w:val="00776C7C"/>
    <w:rsid w:val="007772F5"/>
    <w:rsid w:val="00780A0A"/>
    <w:rsid w:val="00780B08"/>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7B81"/>
    <w:rsid w:val="00787C83"/>
    <w:rsid w:val="00790021"/>
    <w:rsid w:val="00790D0A"/>
    <w:rsid w:val="00790F5B"/>
    <w:rsid w:val="00792325"/>
    <w:rsid w:val="0079362A"/>
    <w:rsid w:val="00793F3E"/>
    <w:rsid w:val="00794947"/>
    <w:rsid w:val="007950D3"/>
    <w:rsid w:val="00796B9D"/>
    <w:rsid w:val="00797CD6"/>
    <w:rsid w:val="007A090A"/>
    <w:rsid w:val="007A0CEF"/>
    <w:rsid w:val="007A0E0A"/>
    <w:rsid w:val="007A0F8F"/>
    <w:rsid w:val="007A150C"/>
    <w:rsid w:val="007A2D81"/>
    <w:rsid w:val="007A3561"/>
    <w:rsid w:val="007A3FFB"/>
    <w:rsid w:val="007A48D5"/>
    <w:rsid w:val="007A5015"/>
    <w:rsid w:val="007A67CC"/>
    <w:rsid w:val="007A73C8"/>
    <w:rsid w:val="007A79B4"/>
    <w:rsid w:val="007B0E67"/>
    <w:rsid w:val="007B0E95"/>
    <w:rsid w:val="007B1811"/>
    <w:rsid w:val="007B227A"/>
    <w:rsid w:val="007B29EE"/>
    <w:rsid w:val="007B2E5A"/>
    <w:rsid w:val="007B2ED0"/>
    <w:rsid w:val="007B3024"/>
    <w:rsid w:val="007B3B33"/>
    <w:rsid w:val="007B4032"/>
    <w:rsid w:val="007B4568"/>
    <w:rsid w:val="007B476B"/>
    <w:rsid w:val="007B62DF"/>
    <w:rsid w:val="007B64EC"/>
    <w:rsid w:val="007B6DA6"/>
    <w:rsid w:val="007B6F9B"/>
    <w:rsid w:val="007B704F"/>
    <w:rsid w:val="007B7D63"/>
    <w:rsid w:val="007C0DA8"/>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690E"/>
    <w:rsid w:val="007C729B"/>
    <w:rsid w:val="007D0514"/>
    <w:rsid w:val="007D11A5"/>
    <w:rsid w:val="007D11EE"/>
    <w:rsid w:val="007D1C61"/>
    <w:rsid w:val="007D2B23"/>
    <w:rsid w:val="007D2CCD"/>
    <w:rsid w:val="007D5979"/>
    <w:rsid w:val="007D608A"/>
    <w:rsid w:val="007D73DA"/>
    <w:rsid w:val="007D7848"/>
    <w:rsid w:val="007E0074"/>
    <w:rsid w:val="007E03DF"/>
    <w:rsid w:val="007E0E0C"/>
    <w:rsid w:val="007E12EF"/>
    <w:rsid w:val="007E2250"/>
    <w:rsid w:val="007E2EDC"/>
    <w:rsid w:val="007E3BA0"/>
    <w:rsid w:val="007E4987"/>
    <w:rsid w:val="007E5BB9"/>
    <w:rsid w:val="007E5E83"/>
    <w:rsid w:val="007E5F42"/>
    <w:rsid w:val="007E5F73"/>
    <w:rsid w:val="007E6122"/>
    <w:rsid w:val="007E6DC5"/>
    <w:rsid w:val="007E75B4"/>
    <w:rsid w:val="007E76D9"/>
    <w:rsid w:val="007F15A1"/>
    <w:rsid w:val="007F17E8"/>
    <w:rsid w:val="007F2B47"/>
    <w:rsid w:val="007F3424"/>
    <w:rsid w:val="007F4636"/>
    <w:rsid w:val="007F4824"/>
    <w:rsid w:val="007F4C35"/>
    <w:rsid w:val="007F52C9"/>
    <w:rsid w:val="007F65C3"/>
    <w:rsid w:val="007F70A3"/>
    <w:rsid w:val="007F7B5B"/>
    <w:rsid w:val="00800CAC"/>
    <w:rsid w:val="0080106D"/>
    <w:rsid w:val="00801889"/>
    <w:rsid w:val="00803448"/>
    <w:rsid w:val="00803FEE"/>
    <w:rsid w:val="00804AFF"/>
    <w:rsid w:val="00804B6A"/>
    <w:rsid w:val="00804C9F"/>
    <w:rsid w:val="0080553B"/>
    <w:rsid w:val="00805BF9"/>
    <w:rsid w:val="00807462"/>
    <w:rsid w:val="008075AC"/>
    <w:rsid w:val="0081048E"/>
    <w:rsid w:val="00810E94"/>
    <w:rsid w:val="00810F19"/>
    <w:rsid w:val="00811588"/>
    <w:rsid w:val="00811E0A"/>
    <w:rsid w:val="00812885"/>
    <w:rsid w:val="00812F29"/>
    <w:rsid w:val="00813043"/>
    <w:rsid w:val="008133DC"/>
    <w:rsid w:val="008156E7"/>
    <w:rsid w:val="00815E20"/>
    <w:rsid w:val="00816C87"/>
    <w:rsid w:val="00816D44"/>
    <w:rsid w:val="008176A9"/>
    <w:rsid w:val="00817A2D"/>
    <w:rsid w:val="00817C27"/>
    <w:rsid w:val="00817C54"/>
    <w:rsid w:val="008205F2"/>
    <w:rsid w:val="00820BE2"/>
    <w:rsid w:val="0082146D"/>
    <w:rsid w:val="00821FFB"/>
    <w:rsid w:val="008223F4"/>
    <w:rsid w:val="00822689"/>
    <w:rsid w:val="00822771"/>
    <w:rsid w:val="00822B44"/>
    <w:rsid w:val="00822FEE"/>
    <w:rsid w:val="00823C6B"/>
    <w:rsid w:val="00823CA6"/>
    <w:rsid w:val="00824081"/>
    <w:rsid w:val="008240F6"/>
    <w:rsid w:val="00824761"/>
    <w:rsid w:val="0082481B"/>
    <w:rsid w:val="00825393"/>
    <w:rsid w:val="00825ACF"/>
    <w:rsid w:val="00825BBB"/>
    <w:rsid w:val="00826292"/>
    <w:rsid w:val="00826C60"/>
    <w:rsid w:val="00826CD7"/>
    <w:rsid w:val="00827743"/>
    <w:rsid w:val="0083082C"/>
    <w:rsid w:val="00830C67"/>
    <w:rsid w:val="00831844"/>
    <w:rsid w:val="00831DB5"/>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F9A"/>
    <w:rsid w:val="00837C39"/>
    <w:rsid w:val="00837D6F"/>
    <w:rsid w:val="00837DBE"/>
    <w:rsid w:val="00841147"/>
    <w:rsid w:val="0084145A"/>
    <w:rsid w:val="0084181C"/>
    <w:rsid w:val="0084295A"/>
    <w:rsid w:val="008429FC"/>
    <w:rsid w:val="00843A7B"/>
    <w:rsid w:val="00843C71"/>
    <w:rsid w:val="00844325"/>
    <w:rsid w:val="0084433E"/>
    <w:rsid w:val="00844F1A"/>
    <w:rsid w:val="008454F1"/>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3217"/>
    <w:rsid w:val="008533BD"/>
    <w:rsid w:val="00853D99"/>
    <w:rsid w:val="00854D1B"/>
    <w:rsid w:val="00855CF1"/>
    <w:rsid w:val="008562AA"/>
    <w:rsid w:val="00856692"/>
    <w:rsid w:val="008575B5"/>
    <w:rsid w:val="00857A26"/>
    <w:rsid w:val="00857BA8"/>
    <w:rsid w:val="00857FEF"/>
    <w:rsid w:val="008603E1"/>
    <w:rsid w:val="008606F6"/>
    <w:rsid w:val="00860F68"/>
    <w:rsid w:val="00861FF5"/>
    <w:rsid w:val="00862555"/>
    <w:rsid w:val="00862898"/>
    <w:rsid w:val="00862B02"/>
    <w:rsid w:val="00862BFF"/>
    <w:rsid w:val="00863A11"/>
    <w:rsid w:val="00864543"/>
    <w:rsid w:val="008645CB"/>
    <w:rsid w:val="00865450"/>
    <w:rsid w:val="0086571E"/>
    <w:rsid w:val="00865E5A"/>
    <w:rsid w:val="0086656E"/>
    <w:rsid w:val="00867004"/>
    <w:rsid w:val="00867302"/>
    <w:rsid w:val="00870571"/>
    <w:rsid w:val="00870A15"/>
    <w:rsid w:val="00870CCA"/>
    <w:rsid w:val="00871A06"/>
    <w:rsid w:val="00871B42"/>
    <w:rsid w:val="008727C6"/>
    <w:rsid w:val="00872B52"/>
    <w:rsid w:val="008734BD"/>
    <w:rsid w:val="00873EFF"/>
    <w:rsid w:val="0087433D"/>
    <w:rsid w:val="008743BC"/>
    <w:rsid w:val="008744D8"/>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F2B"/>
    <w:rsid w:val="00883509"/>
    <w:rsid w:val="008837A9"/>
    <w:rsid w:val="00884382"/>
    <w:rsid w:val="00884E24"/>
    <w:rsid w:val="00884E7B"/>
    <w:rsid w:val="00885B77"/>
    <w:rsid w:val="00885C4F"/>
    <w:rsid w:val="0088665B"/>
    <w:rsid w:val="00886B31"/>
    <w:rsid w:val="00886D22"/>
    <w:rsid w:val="00886F5A"/>
    <w:rsid w:val="00887D34"/>
    <w:rsid w:val="00890384"/>
    <w:rsid w:val="00891485"/>
    <w:rsid w:val="00891F6F"/>
    <w:rsid w:val="008923E8"/>
    <w:rsid w:val="00892DE1"/>
    <w:rsid w:val="008930FB"/>
    <w:rsid w:val="008936FF"/>
    <w:rsid w:val="00894315"/>
    <w:rsid w:val="008943ED"/>
    <w:rsid w:val="00894EE5"/>
    <w:rsid w:val="00895D42"/>
    <w:rsid w:val="008962EC"/>
    <w:rsid w:val="00896C6A"/>
    <w:rsid w:val="00897086"/>
    <w:rsid w:val="00897654"/>
    <w:rsid w:val="00897EF4"/>
    <w:rsid w:val="00897FA6"/>
    <w:rsid w:val="008A0010"/>
    <w:rsid w:val="008A002B"/>
    <w:rsid w:val="008A1B8A"/>
    <w:rsid w:val="008A212C"/>
    <w:rsid w:val="008A2AF9"/>
    <w:rsid w:val="008A4216"/>
    <w:rsid w:val="008A4AC7"/>
    <w:rsid w:val="008A5080"/>
    <w:rsid w:val="008A529D"/>
    <w:rsid w:val="008A553B"/>
    <w:rsid w:val="008A5C24"/>
    <w:rsid w:val="008A5D9D"/>
    <w:rsid w:val="008A5E69"/>
    <w:rsid w:val="008A640F"/>
    <w:rsid w:val="008B00A0"/>
    <w:rsid w:val="008B0236"/>
    <w:rsid w:val="008B04DE"/>
    <w:rsid w:val="008B05F5"/>
    <w:rsid w:val="008B0ABD"/>
    <w:rsid w:val="008B20FA"/>
    <w:rsid w:val="008B21EB"/>
    <w:rsid w:val="008B535E"/>
    <w:rsid w:val="008B7A75"/>
    <w:rsid w:val="008B7EA9"/>
    <w:rsid w:val="008C0EE1"/>
    <w:rsid w:val="008C191B"/>
    <w:rsid w:val="008C1ADA"/>
    <w:rsid w:val="008C1CE4"/>
    <w:rsid w:val="008C2082"/>
    <w:rsid w:val="008C4816"/>
    <w:rsid w:val="008C589F"/>
    <w:rsid w:val="008C5B29"/>
    <w:rsid w:val="008C5B78"/>
    <w:rsid w:val="008C5BB1"/>
    <w:rsid w:val="008C66D2"/>
    <w:rsid w:val="008C67DF"/>
    <w:rsid w:val="008C69E9"/>
    <w:rsid w:val="008D0FAA"/>
    <w:rsid w:val="008D1A23"/>
    <w:rsid w:val="008D2242"/>
    <w:rsid w:val="008D2497"/>
    <w:rsid w:val="008D27ED"/>
    <w:rsid w:val="008D3488"/>
    <w:rsid w:val="008D4C39"/>
    <w:rsid w:val="008D6064"/>
    <w:rsid w:val="008D685A"/>
    <w:rsid w:val="008D6AA3"/>
    <w:rsid w:val="008D6FFE"/>
    <w:rsid w:val="008D70A0"/>
    <w:rsid w:val="008D7B54"/>
    <w:rsid w:val="008D7F23"/>
    <w:rsid w:val="008E0579"/>
    <w:rsid w:val="008E169A"/>
    <w:rsid w:val="008E1CC1"/>
    <w:rsid w:val="008E1CF8"/>
    <w:rsid w:val="008E2B9C"/>
    <w:rsid w:val="008E2EFC"/>
    <w:rsid w:val="008E2F1B"/>
    <w:rsid w:val="008E332E"/>
    <w:rsid w:val="008E3EC5"/>
    <w:rsid w:val="008E41CA"/>
    <w:rsid w:val="008E45F6"/>
    <w:rsid w:val="008E4B66"/>
    <w:rsid w:val="008E4BCC"/>
    <w:rsid w:val="008E4CB7"/>
    <w:rsid w:val="008E524E"/>
    <w:rsid w:val="008E5AC6"/>
    <w:rsid w:val="008E5D3B"/>
    <w:rsid w:val="008E5F8A"/>
    <w:rsid w:val="008E6C8A"/>
    <w:rsid w:val="008E6E29"/>
    <w:rsid w:val="008E75BC"/>
    <w:rsid w:val="008E75DC"/>
    <w:rsid w:val="008F0267"/>
    <w:rsid w:val="008F0F5E"/>
    <w:rsid w:val="008F1470"/>
    <w:rsid w:val="008F2244"/>
    <w:rsid w:val="008F2C39"/>
    <w:rsid w:val="008F2E13"/>
    <w:rsid w:val="008F2EDA"/>
    <w:rsid w:val="008F4091"/>
    <w:rsid w:val="008F4133"/>
    <w:rsid w:val="008F4A16"/>
    <w:rsid w:val="008F4DE3"/>
    <w:rsid w:val="008F53C7"/>
    <w:rsid w:val="008F5413"/>
    <w:rsid w:val="008F5D0E"/>
    <w:rsid w:val="008F6112"/>
    <w:rsid w:val="008F62F4"/>
    <w:rsid w:val="008F70EA"/>
    <w:rsid w:val="0090020F"/>
    <w:rsid w:val="009010B5"/>
    <w:rsid w:val="009010F2"/>
    <w:rsid w:val="00901303"/>
    <w:rsid w:val="009016DD"/>
    <w:rsid w:val="00902383"/>
    <w:rsid w:val="00902D53"/>
    <w:rsid w:val="00903A63"/>
    <w:rsid w:val="00903DEA"/>
    <w:rsid w:val="0090447C"/>
    <w:rsid w:val="009045E2"/>
    <w:rsid w:val="00904B4B"/>
    <w:rsid w:val="009050D9"/>
    <w:rsid w:val="009054CF"/>
    <w:rsid w:val="009056D1"/>
    <w:rsid w:val="00905BC5"/>
    <w:rsid w:val="00906EEC"/>
    <w:rsid w:val="009072A8"/>
    <w:rsid w:val="0091017F"/>
    <w:rsid w:val="00910B6B"/>
    <w:rsid w:val="0091114E"/>
    <w:rsid w:val="00911839"/>
    <w:rsid w:val="00911CB0"/>
    <w:rsid w:val="00911E07"/>
    <w:rsid w:val="009122B6"/>
    <w:rsid w:val="00912E0F"/>
    <w:rsid w:val="009133E1"/>
    <w:rsid w:val="00913615"/>
    <w:rsid w:val="0091414A"/>
    <w:rsid w:val="009144A7"/>
    <w:rsid w:val="00914B0A"/>
    <w:rsid w:val="00914C9A"/>
    <w:rsid w:val="0091506A"/>
    <w:rsid w:val="00915DFE"/>
    <w:rsid w:val="00916EA0"/>
    <w:rsid w:val="00917533"/>
    <w:rsid w:val="0092090A"/>
    <w:rsid w:val="00920A2D"/>
    <w:rsid w:val="00921B6A"/>
    <w:rsid w:val="00923689"/>
    <w:rsid w:val="00924266"/>
    <w:rsid w:val="009270E9"/>
    <w:rsid w:val="0092711E"/>
    <w:rsid w:val="00927375"/>
    <w:rsid w:val="00931712"/>
    <w:rsid w:val="00932A15"/>
    <w:rsid w:val="0093317E"/>
    <w:rsid w:val="0093379C"/>
    <w:rsid w:val="00933C64"/>
    <w:rsid w:val="00933EF8"/>
    <w:rsid w:val="00934EE7"/>
    <w:rsid w:val="00935057"/>
    <w:rsid w:val="009359E1"/>
    <w:rsid w:val="0093795F"/>
    <w:rsid w:val="009405E0"/>
    <w:rsid w:val="0094072F"/>
    <w:rsid w:val="009410AA"/>
    <w:rsid w:val="0094201D"/>
    <w:rsid w:val="00942586"/>
    <w:rsid w:val="00943ED4"/>
    <w:rsid w:val="00944481"/>
    <w:rsid w:val="009446F5"/>
    <w:rsid w:val="00944CB7"/>
    <w:rsid w:val="00945421"/>
    <w:rsid w:val="0094566D"/>
    <w:rsid w:val="00945C47"/>
    <w:rsid w:val="00946225"/>
    <w:rsid w:val="00946349"/>
    <w:rsid w:val="00946640"/>
    <w:rsid w:val="009475F9"/>
    <w:rsid w:val="0095007C"/>
    <w:rsid w:val="00950123"/>
    <w:rsid w:val="00950E3C"/>
    <w:rsid w:val="00950F6C"/>
    <w:rsid w:val="00951692"/>
    <w:rsid w:val="00952A69"/>
    <w:rsid w:val="009534BC"/>
    <w:rsid w:val="00953C67"/>
    <w:rsid w:val="00954746"/>
    <w:rsid w:val="0095500E"/>
    <w:rsid w:val="00955991"/>
    <w:rsid w:val="0095661E"/>
    <w:rsid w:val="00956958"/>
    <w:rsid w:val="00957AD0"/>
    <w:rsid w:val="00957C0F"/>
    <w:rsid w:val="00957CE4"/>
    <w:rsid w:val="009601ED"/>
    <w:rsid w:val="00960281"/>
    <w:rsid w:val="00961545"/>
    <w:rsid w:val="00961559"/>
    <w:rsid w:val="00961EDE"/>
    <w:rsid w:val="00962ED4"/>
    <w:rsid w:val="00963335"/>
    <w:rsid w:val="00963E98"/>
    <w:rsid w:val="00966792"/>
    <w:rsid w:val="0096680C"/>
    <w:rsid w:val="00966E35"/>
    <w:rsid w:val="00967789"/>
    <w:rsid w:val="00967D59"/>
    <w:rsid w:val="00970D6B"/>
    <w:rsid w:val="009714EF"/>
    <w:rsid w:val="009716B8"/>
    <w:rsid w:val="00971BA9"/>
    <w:rsid w:val="00972070"/>
    <w:rsid w:val="0097281D"/>
    <w:rsid w:val="00972C2A"/>
    <w:rsid w:val="00973A58"/>
    <w:rsid w:val="0097553B"/>
    <w:rsid w:val="00975B66"/>
    <w:rsid w:val="00975BB2"/>
    <w:rsid w:val="00976653"/>
    <w:rsid w:val="009768C2"/>
    <w:rsid w:val="0097720E"/>
    <w:rsid w:val="00980AD3"/>
    <w:rsid w:val="00980DC9"/>
    <w:rsid w:val="00981079"/>
    <w:rsid w:val="0098180A"/>
    <w:rsid w:val="0098187F"/>
    <w:rsid w:val="00981EFA"/>
    <w:rsid w:val="00982711"/>
    <w:rsid w:val="009827B8"/>
    <w:rsid w:val="00983707"/>
    <w:rsid w:val="009839E5"/>
    <w:rsid w:val="00983F37"/>
    <w:rsid w:val="0098441B"/>
    <w:rsid w:val="0098451C"/>
    <w:rsid w:val="00984A54"/>
    <w:rsid w:val="00985B57"/>
    <w:rsid w:val="0098630E"/>
    <w:rsid w:val="0098645A"/>
    <w:rsid w:val="00987276"/>
    <w:rsid w:val="00987A1F"/>
    <w:rsid w:val="00987F84"/>
    <w:rsid w:val="009901CA"/>
    <w:rsid w:val="00990E8D"/>
    <w:rsid w:val="00993473"/>
    <w:rsid w:val="00993E8C"/>
    <w:rsid w:val="00994521"/>
    <w:rsid w:val="00994C2F"/>
    <w:rsid w:val="00995148"/>
    <w:rsid w:val="00996BDA"/>
    <w:rsid w:val="00996CA3"/>
    <w:rsid w:val="0099737E"/>
    <w:rsid w:val="00997959"/>
    <w:rsid w:val="009A1446"/>
    <w:rsid w:val="009A187D"/>
    <w:rsid w:val="009A18CF"/>
    <w:rsid w:val="009A1A00"/>
    <w:rsid w:val="009A1E80"/>
    <w:rsid w:val="009A242E"/>
    <w:rsid w:val="009A27C4"/>
    <w:rsid w:val="009A2A1F"/>
    <w:rsid w:val="009A2EEF"/>
    <w:rsid w:val="009A3333"/>
    <w:rsid w:val="009A3522"/>
    <w:rsid w:val="009A35BA"/>
    <w:rsid w:val="009A35FB"/>
    <w:rsid w:val="009A4A19"/>
    <w:rsid w:val="009A4A99"/>
    <w:rsid w:val="009A55C3"/>
    <w:rsid w:val="009A562C"/>
    <w:rsid w:val="009A5CC1"/>
    <w:rsid w:val="009A6CF0"/>
    <w:rsid w:val="009A6FB9"/>
    <w:rsid w:val="009A7316"/>
    <w:rsid w:val="009A743E"/>
    <w:rsid w:val="009A7560"/>
    <w:rsid w:val="009A7D88"/>
    <w:rsid w:val="009A7FE6"/>
    <w:rsid w:val="009B083A"/>
    <w:rsid w:val="009B20B1"/>
    <w:rsid w:val="009B21A1"/>
    <w:rsid w:val="009B27B6"/>
    <w:rsid w:val="009B2991"/>
    <w:rsid w:val="009B2EDD"/>
    <w:rsid w:val="009B3D72"/>
    <w:rsid w:val="009B4A1F"/>
    <w:rsid w:val="009B50B0"/>
    <w:rsid w:val="009B5143"/>
    <w:rsid w:val="009B549F"/>
    <w:rsid w:val="009B552E"/>
    <w:rsid w:val="009B56A6"/>
    <w:rsid w:val="009B5D28"/>
    <w:rsid w:val="009B72CD"/>
    <w:rsid w:val="009B7464"/>
    <w:rsid w:val="009B7576"/>
    <w:rsid w:val="009B7956"/>
    <w:rsid w:val="009B7B65"/>
    <w:rsid w:val="009C02E3"/>
    <w:rsid w:val="009C03D9"/>
    <w:rsid w:val="009C03E2"/>
    <w:rsid w:val="009C04CE"/>
    <w:rsid w:val="009C09FD"/>
    <w:rsid w:val="009C1030"/>
    <w:rsid w:val="009C1230"/>
    <w:rsid w:val="009C12D2"/>
    <w:rsid w:val="009C1C3B"/>
    <w:rsid w:val="009C245F"/>
    <w:rsid w:val="009C2D52"/>
    <w:rsid w:val="009C2F95"/>
    <w:rsid w:val="009C3749"/>
    <w:rsid w:val="009C3979"/>
    <w:rsid w:val="009C3A52"/>
    <w:rsid w:val="009C3BF3"/>
    <w:rsid w:val="009C3C8A"/>
    <w:rsid w:val="009C41C8"/>
    <w:rsid w:val="009C423A"/>
    <w:rsid w:val="009C55A3"/>
    <w:rsid w:val="009C5D44"/>
    <w:rsid w:val="009C7707"/>
    <w:rsid w:val="009C7B48"/>
    <w:rsid w:val="009D1550"/>
    <w:rsid w:val="009D25EC"/>
    <w:rsid w:val="009D274C"/>
    <w:rsid w:val="009D28C2"/>
    <w:rsid w:val="009D2B48"/>
    <w:rsid w:val="009D407A"/>
    <w:rsid w:val="009D4832"/>
    <w:rsid w:val="009D4D7F"/>
    <w:rsid w:val="009D550A"/>
    <w:rsid w:val="009D56CF"/>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5AA"/>
    <w:rsid w:val="009E4B58"/>
    <w:rsid w:val="009E5660"/>
    <w:rsid w:val="009E5C17"/>
    <w:rsid w:val="009E5C66"/>
    <w:rsid w:val="009E6A83"/>
    <w:rsid w:val="009E72F4"/>
    <w:rsid w:val="009E783F"/>
    <w:rsid w:val="009F072A"/>
    <w:rsid w:val="009F077B"/>
    <w:rsid w:val="009F181C"/>
    <w:rsid w:val="009F1A2A"/>
    <w:rsid w:val="009F261F"/>
    <w:rsid w:val="009F34F1"/>
    <w:rsid w:val="009F379F"/>
    <w:rsid w:val="009F3BD8"/>
    <w:rsid w:val="009F3F7A"/>
    <w:rsid w:val="009F4A3B"/>
    <w:rsid w:val="009F5F21"/>
    <w:rsid w:val="009F660F"/>
    <w:rsid w:val="009F6781"/>
    <w:rsid w:val="009F6CFF"/>
    <w:rsid w:val="00A00731"/>
    <w:rsid w:val="00A01F36"/>
    <w:rsid w:val="00A023A9"/>
    <w:rsid w:val="00A02905"/>
    <w:rsid w:val="00A036D5"/>
    <w:rsid w:val="00A03865"/>
    <w:rsid w:val="00A041D0"/>
    <w:rsid w:val="00A0447C"/>
    <w:rsid w:val="00A04955"/>
    <w:rsid w:val="00A05D3D"/>
    <w:rsid w:val="00A0604B"/>
    <w:rsid w:val="00A0615E"/>
    <w:rsid w:val="00A06492"/>
    <w:rsid w:val="00A065B9"/>
    <w:rsid w:val="00A06BF6"/>
    <w:rsid w:val="00A07436"/>
    <w:rsid w:val="00A07B76"/>
    <w:rsid w:val="00A10351"/>
    <w:rsid w:val="00A10E6A"/>
    <w:rsid w:val="00A114B6"/>
    <w:rsid w:val="00A11555"/>
    <w:rsid w:val="00A11FE0"/>
    <w:rsid w:val="00A129AB"/>
    <w:rsid w:val="00A1324F"/>
    <w:rsid w:val="00A13D53"/>
    <w:rsid w:val="00A14064"/>
    <w:rsid w:val="00A14DEC"/>
    <w:rsid w:val="00A15198"/>
    <w:rsid w:val="00A1538F"/>
    <w:rsid w:val="00A15395"/>
    <w:rsid w:val="00A15C52"/>
    <w:rsid w:val="00A16052"/>
    <w:rsid w:val="00A16951"/>
    <w:rsid w:val="00A1766F"/>
    <w:rsid w:val="00A17777"/>
    <w:rsid w:val="00A179BC"/>
    <w:rsid w:val="00A17E05"/>
    <w:rsid w:val="00A20DD7"/>
    <w:rsid w:val="00A20F51"/>
    <w:rsid w:val="00A212F2"/>
    <w:rsid w:val="00A2195F"/>
    <w:rsid w:val="00A21D04"/>
    <w:rsid w:val="00A22D49"/>
    <w:rsid w:val="00A23334"/>
    <w:rsid w:val="00A2349B"/>
    <w:rsid w:val="00A23658"/>
    <w:rsid w:val="00A246DE"/>
    <w:rsid w:val="00A252CA"/>
    <w:rsid w:val="00A25843"/>
    <w:rsid w:val="00A25B5D"/>
    <w:rsid w:val="00A263E9"/>
    <w:rsid w:val="00A2677E"/>
    <w:rsid w:val="00A27568"/>
    <w:rsid w:val="00A276ED"/>
    <w:rsid w:val="00A27B7A"/>
    <w:rsid w:val="00A30AD7"/>
    <w:rsid w:val="00A30B3C"/>
    <w:rsid w:val="00A3169D"/>
    <w:rsid w:val="00A33073"/>
    <w:rsid w:val="00A34905"/>
    <w:rsid w:val="00A360D6"/>
    <w:rsid w:val="00A36893"/>
    <w:rsid w:val="00A36B9C"/>
    <w:rsid w:val="00A3775D"/>
    <w:rsid w:val="00A40249"/>
    <w:rsid w:val="00A4095F"/>
    <w:rsid w:val="00A4142D"/>
    <w:rsid w:val="00A41D89"/>
    <w:rsid w:val="00A41E76"/>
    <w:rsid w:val="00A43999"/>
    <w:rsid w:val="00A4503B"/>
    <w:rsid w:val="00A451F9"/>
    <w:rsid w:val="00A45768"/>
    <w:rsid w:val="00A46103"/>
    <w:rsid w:val="00A47C9B"/>
    <w:rsid w:val="00A47E27"/>
    <w:rsid w:val="00A505DD"/>
    <w:rsid w:val="00A5112C"/>
    <w:rsid w:val="00A51975"/>
    <w:rsid w:val="00A52A28"/>
    <w:rsid w:val="00A53E3D"/>
    <w:rsid w:val="00A54270"/>
    <w:rsid w:val="00A544E2"/>
    <w:rsid w:val="00A549B8"/>
    <w:rsid w:val="00A55E99"/>
    <w:rsid w:val="00A566D2"/>
    <w:rsid w:val="00A5736E"/>
    <w:rsid w:val="00A57B7A"/>
    <w:rsid w:val="00A6139E"/>
    <w:rsid w:val="00A61721"/>
    <w:rsid w:val="00A61922"/>
    <w:rsid w:val="00A62268"/>
    <w:rsid w:val="00A62E43"/>
    <w:rsid w:val="00A637F0"/>
    <w:rsid w:val="00A63D71"/>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E15"/>
    <w:rsid w:val="00A71EF3"/>
    <w:rsid w:val="00A72034"/>
    <w:rsid w:val="00A7211C"/>
    <w:rsid w:val="00A72276"/>
    <w:rsid w:val="00A7311F"/>
    <w:rsid w:val="00A73783"/>
    <w:rsid w:val="00A73D4C"/>
    <w:rsid w:val="00A7475D"/>
    <w:rsid w:val="00A7499E"/>
    <w:rsid w:val="00A75D6F"/>
    <w:rsid w:val="00A769DC"/>
    <w:rsid w:val="00A77ED1"/>
    <w:rsid w:val="00A80B0D"/>
    <w:rsid w:val="00A80ECA"/>
    <w:rsid w:val="00A82400"/>
    <w:rsid w:val="00A82AAD"/>
    <w:rsid w:val="00A837FF"/>
    <w:rsid w:val="00A8476D"/>
    <w:rsid w:val="00A85281"/>
    <w:rsid w:val="00A857FB"/>
    <w:rsid w:val="00A85E8E"/>
    <w:rsid w:val="00A86731"/>
    <w:rsid w:val="00A870D1"/>
    <w:rsid w:val="00A87242"/>
    <w:rsid w:val="00A87BDB"/>
    <w:rsid w:val="00A908EF"/>
    <w:rsid w:val="00A92526"/>
    <w:rsid w:val="00A926D8"/>
    <w:rsid w:val="00A929E6"/>
    <w:rsid w:val="00A92DCC"/>
    <w:rsid w:val="00A93297"/>
    <w:rsid w:val="00A936B6"/>
    <w:rsid w:val="00A9400C"/>
    <w:rsid w:val="00A95128"/>
    <w:rsid w:val="00A95E03"/>
    <w:rsid w:val="00A974B8"/>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8EB"/>
    <w:rsid w:val="00AA6F52"/>
    <w:rsid w:val="00AA7894"/>
    <w:rsid w:val="00AB0095"/>
    <w:rsid w:val="00AB0CFB"/>
    <w:rsid w:val="00AB0D84"/>
    <w:rsid w:val="00AB2537"/>
    <w:rsid w:val="00AB2666"/>
    <w:rsid w:val="00AB340A"/>
    <w:rsid w:val="00AB3832"/>
    <w:rsid w:val="00AB41A9"/>
    <w:rsid w:val="00AB4239"/>
    <w:rsid w:val="00AB4831"/>
    <w:rsid w:val="00AB50A3"/>
    <w:rsid w:val="00AB6679"/>
    <w:rsid w:val="00AB6EC8"/>
    <w:rsid w:val="00AB7B9C"/>
    <w:rsid w:val="00AC0169"/>
    <w:rsid w:val="00AC08E4"/>
    <w:rsid w:val="00AC18E5"/>
    <w:rsid w:val="00AC2374"/>
    <w:rsid w:val="00AC2620"/>
    <w:rsid w:val="00AC29BC"/>
    <w:rsid w:val="00AC2EAA"/>
    <w:rsid w:val="00AC3D9F"/>
    <w:rsid w:val="00AC4385"/>
    <w:rsid w:val="00AC47E3"/>
    <w:rsid w:val="00AC49ED"/>
    <w:rsid w:val="00AC53E0"/>
    <w:rsid w:val="00AC59D1"/>
    <w:rsid w:val="00AC650C"/>
    <w:rsid w:val="00AC6728"/>
    <w:rsid w:val="00AC6949"/>
    <w:rsid w:val="00AC6D7F"/>
    <w:rsid w:val="00AC6FC1"/>
    <w:rsid w:val="00AC7526"/>
    <w:rsid w:val="00AC7890"/>
    <w:rsid w:val="00AD01ED"/>
    <w:rsid w:val="00AD057F"/>
    <w:rsid w:val="00AD3C9F"/>
    <w:rsid w:val="00AD4E2B"/>
    <w:rsid w:val="00AD5111"/>
    <w:rsid w:val="00AD6320"/>
    <w:rsid w:val="00AD6CDA"/>
    <w:rsid w:val="00AD6EEC"/>
    <w:rsid w:val="00AD72AE"/>
    <w:rsid w:val="00AD7855"/>
    <w:rsid w:val="00AD79A1"/>
    <w:rsid w:val="00AE0259"/>
    <w:rsid w:val="00AE0360"/>
    <w:rsid w:val="00AE0999"/>
    <w:rsid w:val="00AE0A3F"/>
    <w:rsid w:val="00AE0D19"/>
    <w:rsid w:val="00AE0E67"/>
    <w:rsid w:val="00AE163E"/>
    <w:rsid w:val="00AE2D29"/>
    <w:rsid w:val="00AE414C"/>
    <w:rsid w:val="00AE44C7"/>
    <w:rsid w:val="00AE5ECB"/>
    <w:rsid w:val="00AE6375"/>
    <w:rsid w:val="00AE63CE"/>
    <w:rsid w:val="00AE6A4B"/>
    <w:rsid w:val="00AE6E4F"/>
    <w:rsid w:val="00AE7149"/>
    <w:rsid w:val="00AF0186"/>
    <w:rsid w:val="00AF0527"/>
    <w:rsid w:val="00AF06F0"/>
    <w:rsid w:val="00AF1199"/>
    <w:rsid w:val="00AF1271"/>
    <w:rsid w:val="00AF1C21"/>
    <w:rsid w:val="00AF24D5"/>
    <w:rsid w:val="00AF24DA"/>
    <w:rsid w:val="00AF2561"/>
    <w:rsid w:val="00AF2622"/>
    <w:rsid w:val="00AF2FC8"/>
    <w:rsid w:val="00AF3DE2"/>
    <w:rsid w:val="00AF45F0"/>
    <w:rsid w:val="00AF4942"/>
    <w:rsid w:val="00AF537C"/>
    <w:rsid w:val="00AF690A"/>
    <w:rsid w:val="00AF7351"/>
    <w:rsid w:val="00AF738C"/>
    <w:rsid w:val="00AF7972"/>
    <w:rsid w:val="00AF7DBA"/>
    <w:rsid w:val="00B00C7D"/>
    <w:rsid w:val="00B00CD4"/>
    <w:rsid w:val="00B01A62"/>
    <w:rsid w:val="00B024CB"/>
    <w:rsid w:val="00B03053"/>
    <w:rsid w:val="00B04785"/>
    <w:rsid w:val="00B04BAE"/>
    <w:rsid w:val="00B065EE"/>
    <w:rsid w:val="00B0669F"/>
    <w:rsid w:val="00B06F5E"/>
    <w:rsid w:val="00B071D5"/>
    <w:rsid w:val="00B076FE"/>
    <w:rsid w:val="00B101DC"/>
    <w:rsid w:val="00B1084A"/>
    <w:rsid w:val="00B11E59"/>
    <w:rsid w:val="00B1264D"/>
    <w:rsid w:val="00B126B2"/>
    <w:rsid w:val="00B12A76"/>
    <w:rsid w:val="00B130CF"/>
    <w:rsid w:val="00B1454A"/>
    <w:rsid w:val="00B17711"/>
    <w:rsid w:val="00B17978"/>
    <w:rsid w:val="00B20700"/>
    <w:rsid w:val="00B20F45"/>
    <w:rsid w:val="00B2135A"/>
    <w:rsid w:val="00B213C7"/>
    <w:rsid w:val="00B216F5"/>
    <w:rsid w:val="00B22E11"/>
    <w:rsid w:val="00B2320A"/>
    <w:rsid w:val="00B234D3"/>
    <w:rsid w:val="00B23B06"/>
    <w:rsid w:val="00B2421A"/>
    <w:rsid w:val="00B24E90"/>
    <w:rsid w:val="00B25591"/>
    <w:rsid w:val="00B2562C"/>
    <w:rsid w:val="00B256F7"/>
    <w:rsid w:val="00B25A9F"/>
    <w:rsid w:val="00B26244"/>
    <w:rsid w:val="00B3066B"/>
    <w:rsid w:val="00B30726"/>
    <w:rsid w:val="00B31109"/>
    <w:rsid w:val="00B31E89"/>
    <w:rsid w:val="00B32198"/>
    <w:rsid w:val="00B32607"/>
    <w:rsid w:val="00B32A7E"/>
    <w:rsid w:val="00B32E87"/>
    <w:rsid w:val="00B333F9"/>
    <w:rsid w:val="00B334B7"/>
    <w:rsid w:val="00B33A06"/>
    <w:rsid w:val="00B33D63"/>
    <w:rsid w:val="00B34D7A"/>
    <w:rsid w:val="00B355DE"/>
    <w:rsid w:val="00B3672B"/>
    <w:rsid w:val="00B36D56"/>
    <w:rsid w:val="00B36F89"/>
    <w:rsid w:val="00B36FB1"/>
    <w:rsid w:val="00B37052"/>
    <w:rsid w:val="00B3768F"/>
    <w:rsid w:val="00B3770F"/>
    <w:rsid w:val="00B4034A"/>
    <w:rsid w:val="00B406CB"/>
    <w:rsid w:val="00B408AF"/>
    <w:rsid w:val="00B40BA2"/>
    <w:rsid w:val="00B4113D"/>
    <w:rsid w:val="00B411CC"/>
    <w:rsid w:val="00B4153A"/>
    <w:rsid w:val="00B4187B"/>
    <w:rsid w:val="00B42158"/>
    <w:rsid w:val="00B4300E"/>
    <w:rsid w:val="00B43178"/>
    <w:rsid w:val="00B43319"/>
    <w:rsid w:val="00B43A14"/>
    <w:rsid w:val="00B440D5"/>
    <w:rsid w:val="00B44AAD"/>
    <w:rsid w:val="00B44E65"/>
    <w:rsid w:val="00B45480"/>
    <w:rsid w:val="00B45BDE"/>
    <w:rsid w:val="00B46132"/>
    <w:rsid w:val="00B4662A"/>
    <w:rsid w:val="00B46B93"/>
    <w:rsid w:val="00B47203"/>
    <w:rsid w:val="00B47DF9"/>
    <w:rsid w:val="00B500E6"/>
    <w:rsid w:val="00B501A1"/>
    <w:rsid w:val="00B508DF"/>
    <w:rsid w:val="00B508F9"/>
    <w:rsid w:val="00B51463"/>
    <w:rsid w:val="00B52355"/>
    <w:rsid w:val="00B5285E"/>
    <w:rsid w:val="00B53016"/>
    <w:rsid w:val="00B53488"/>
    <w:rsid w:val="00B5399B"/>
    <w:rsid w:val="00B53BED"/>
    <w:rsid w:val="00B53F88"/>
    <w:rsid w:val="00B54298"/>
    <w:rsid w:val="00B54AB4"/>
    <w:rsid w:val="00B54FC3"/>
    <w:rsid w:val="00B5550B"/>
    <w:rsid w:val="00B55AAD"/>
    <w:rsid w:val="00B56441"/>
    <w:rsid w:val="00B56DF0"/>
    <w:rsid w:val="00B56F26"/>
    <w:rsid w:val="00B56F41"/>
    <w:rsid w:val="00B57288"/>
    <w:rsid w:val="00B574BA"/>
    <w:rsid w:val="00B5756F"/>
    <w:rsid w:val="00B576E7"/>
    <w:rsid w:val="00B577A6"/>
    <w:rsid w:val="00B57AE6"/>
    <w:rsid w:val="00B60A61"/>
    <w:rsid w:val="00B61693"/>
    <w:rsid w:val="00B630D5"/>
    <w:rsid w:val="00B63480"/>
    <w:rsid w:val="00B634FA"/>
    <w:rsid w:val="00B63A81"/>
    <w:rsid w:val="00B63BB8"/>
    <w:rsid w:val="00B65E4A"/>
    <w:rsid w:val="00B6765B"/>
    <w:rsid w:val="00B67EA2"/>
    <w:rsid w:val="00B70381"/>
    <w:rsid w:val="00B703A5"/>
    <w:rsid w:val="00B7070F"/>
    <w:rsid w:val="00B70AF3"/>
    <w:rsid w:val="00B70F4E"/>
    <w:rsid w:val="00B7111F"/>
    <w:rsid w:val="00B72215"/>
    <w:rsid w:val="00B723D3"/>
    <w:rsid w:val="00B73025"/>
    <w:rsid w:val="00B73848"/>
    <w:rsid w:val="00B74F5A"/>
    <w:rsid w:val="00B75DE7"/>
    <w:rsid w:val="00B76076"/>
    <w:rsid w:val="00B76078"/>
    <w:rsid w:val="00B761B9"/>
    <w:rsid w:val="00B7680D"/>
    <w:rsid w:val="00B76979"/>
    <w:rsid w:val="00B76BF3"/>
    <w:rsid w:val="00B80653"/>
    <w:rsid w:val="00B8080D"/>
    <w:rsid w:val="00B8237E"/>
    <w:rsid w:val="00B82919"/>
    <w:rsid w:val="00B8297C"/>
    <w:rsid w:val="00B83602"/>
    <w:rsid w:val="00B8530E"/>
    <w:rsid w:val="00B85ADB"/>
    <w:rsid w:val="00B85D37"/>
    <w:rsid w:val="00B86209"/>
    <w:rsid w:val="00B862ED"/>
    <w:rsid w:val="00B86587"/>
    <w:rsid w:val="00B877DB"/>
    <w:rsid w:val="00B87A74"/>
    <w:rsid w:val="00B87B52"/>
    <w:rsid w:val="00B90F5C"/>
    <w:rsid w:val="00B911C1"/>
    <w:rsid w:val="00B912D7"/>
    <w:rsid w:val="00B917DE"/>
    <w:rsid w:val="00B91B3C"/>
    <w:rsid w:val="00B92F9F"/>
    <w:rsid w:val="00B933AD"/>
    <w:rsid w:val="00B9487D"/>
    <w:rsid w:val="00B95490"/>
    <w:rsid w:val="00B95F1A"/>
    <w:rsid w:val="00B97504"/>
    <w:rsid w:val="00B97B9E"/>
    <w:rsid w:val="00B97D99"/>
    <w:rsid w:val="00BA0481"/>
    <w:rsid w:val="00BA07A4"/>
    <w:rsid w:val="00BA10AC"/>
    <w:rsid w:val="00BA3D16"/>
    <w:rsid w:val="00BA46ED"/>
    <w:rsid w:val="00BA47C7"/>
    <w:rsid w:val="00BA48CA"/>
    <w:rsid w:val="00BA4C94"/>
    <w:rsid w:val="00BA644F"/>
    <w:rsid w:val="00BA6D41"/>
    <w:rsid w:val="00BA79A3"/>
    <w:rsid w:val="00BB008E"/>
    <w:rsid w:val="00BB0949"/>
    <w:rsid w:val="00BB096D"/>
    <w:rsid w:val="00BB112A"/>
    <w:rsid w:val="00BB1BF0"/>
    <w:rsid w:val="00BB1C60"/>
    <w:rsid w:val="00BB25EA"/>
    <w:rsid w:val="00BB2A73"/>
    <w:rsid w:val="00BB2A8F"/>
    <w:rsid w:val="00BB35E6"/>
    <w:rsid w:val="00BB3901"/>
    <w:rsid w:val="00BB4A4F"/>
    <w:rsid w:val="00BB74C7"/>
    <w:rsid w:val="00BB77F3"/>
    <w:rsid w:val="00BB7C0A"/>
    <w:rsid w:val="00BB7F7E"/>
    <w:rsid w:val="00BC1238"/>
    <w:rsid w:val="00BC14E7"/>
    <w:rsid w:val="00BC1CB2"/>
    <w:rsid w:val="00BC1F5F"/>
    <w:rsid w:val="00BC235C"/>
    <w:rsid w:val="00BC3686"/>
    <w:rsid w:val="00BC47D7"/>
    <w:rsid w:val="00BC4CE6"/>
    <w:rsid w:val="00BC532B"/>
    <w:rsid w:val="00BC5659"/>
    <w:rsid w:val="00BC59DB"/>
    <w:rsid w:val="00BC5DE6"/>
    <w:rsid w:val="00BC600C"/>
    <w:rsid w:val="00BC68C6"/>
    <w:rsid w:val="00BC6C6B"/>
    <w:rsid w:val="00BC78DA"/>
    <w:rsid w:val="00BC7C0D"/>
    <w:rsid w:val="00BD09C9"/>
    <w:rsid w:val="00BD1BF0"/>
    <w:rsid w:val="00BD2026"/>
    <w:rsid w:val="00BD3308"/>
    <w:rsid w:val="00BD38B1"/>
    <w:rsid w:val="00BD3C8D"/>
    <w:rsid w:val="00BD3F74"/>
    <w:rsid w:val="00BD43D0"/>
    <w:rsid w:val="00BD440E"/>
    <w:rsid w:val="00BD45CD"/>
    <w:rsid w:val="00BD50CC"/>
    <w:rsid w:val="00BD50EA"/>
    <w:rsid w:val="00BD553F"/>
    <w:rsid w:val="00BD59D2"/>
    <w:rsid w:val="00BD5CF0"/>
    <w:rsid w:val="00BD6624"/>
    <w:rsid w:val="00BD6B8F"/>
    <w:rsid w:val="00BD6FC7"/>
    <w:rsid w:val="00BD7894"/>
    <w:rsid w:val="00BE0273"/>
    <w:rsid w:val="00BE31D0"/>
    <w:rsid w:val="00BE35D1"/>
    <w:rsid w:val="00BE4A61"/>
    <w:rsid w:val="00BE4C17"/>
    <w:rsid w:val="00BE5050"/>
    <w:rsid w:val="00BE5EEE"/>
    <w:rsid w:val="00BE63C6"/>
    <w:rsid w:val="00BE6AA3"/>
    <w:rsid w:val="00BE7141"/>
    <w:rsid w:val="00BF0802"/>
    <w:rsid w:val="00BF0EC2"/>
    <w:rsid w:val="00BF13A7"/>
    <w:rsid w:val="00BF1C70"/>
    <w:rsid w:val="00BF1E89"/>
    <w:rsid w:val="00BF28C0"/>
    <w:rsid w:val="00BF2D8B"/>
    <w:rsid w:val="00BF2DF8"/>
    <w:rsid w:val="00BF3D43"/>
    <w:rsid w:val="00BF4205"/>
    <w:rsid w:val="00BF5C1A"/>
    <w:rsid w:val="00BF610B"/>
    <w:rsid w:val="00BF74B3"/>
    <w:rsid w:val="00C00118"/>
    <w:rsid w:val="00C00781"/>
    <w:rsid w:val="00C00B2D"/>
    <w:rsid w:val="00C00EB9"/>
    <w:rsid w:val="00C0106D"/>
    <w:rsid w:val="00C01770"/>
    <w:rsid w:val="00C021F0"/>
    <w:rsid w:val="00C0284B"/>
    <w:rsid w:val="00C02D89"/>
    <w:rsid w:val="00C03437"/>
    <w:rsid w:val="00C03B77"/>
    <w:rsid w:val="00C04193"/>
    <w:rsid w:val="00C0471E"/>
    <w:rsid w:val="00C04C0E"/>
    <w:rsid w:val="00C051AC"/>
    <w:rsid w:val="00C06871"/>
    <w:rsid w:val="00C06FE3"/>
    <w:rsid w:val="00C0721D"/>
    <w:rsid w:val="00C0789A"/>
    <w:rsid w:val="00C07B31"/>
    <w:rsid w:val="00C07C15"/>
    <w:rsid w:val="00C1009D"/>
    <w:rsid w:val="00C10992"/>
    <w:rsid w:val="00C13C85"/>
    <w:rsid w:val="00C13F47"/>
    <w:rsid w:val="00C14F05"/>
    <w:rsid w:val="00C1538B"/>
    <w:rsid w:val="00C153CB"/>
    <w:rsid w:val="00C155EE"/>
    <w:rsid w:val="00C16F49"/>
    <w:rsid w:val="00C174D4"/>
    <w:rsid w:val="00C177F7"/>
    <w:rsid w:val="00C17CD6"/>
    <w:rsid w:val="00C207F9"/>
    <w:rsid w:val="00C2143A"/>
    <w:rsid w:val="00C2295F"/>
    <w:rsid w:val="00C2331D"/>
    <w:rsid w:val="00C23671"/>
    <w:rsid w:val="00C2381F"/>
    <w:rsid w:val="00C2410E"/>
    <w:rsid w:val="00C2425B"/>
    <w:rsid w:val="00C24F56"/>
    <w:rsid w:val="00C2582E"/>
    <w:rsid w:val="00C25E39"/>
    <w:rsid w:val="00C25EC8"/>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45D6"/>
    <w:rsid w:val="00C35490"/>
    <w:rsid w:val="00C35A9F"/>
    <w:rsid w:val="00C35F82"/>
    <w:rsid w:val="00C360BB"/>
    <w:rsid w:val="00C363BD"/>
    <w:rsid w:val="00C378E9"/>
    <w:rsid w:val="00C4006A"/>
    <w:rsid w:val="00C400E3"/>
    <w:rsid w:val="00C4084B"/>
    <w:rsid w:val="00C4186D"/>
    <w:rsid w:val="00C41B80"/>
    <w:rsid w:val="00C42385"/>
    <w:rsid w:val="00C4243E"/>
    <w:rsid w:val="00C43CCA"/>
    <w:rsid w:val="00C43EE3"/>
    <w:rsid w:val="00C4444B"/>
    <w:rsid w:val="00C445BE"/>
    <w:rsid w:val="00C445E9"/>
    <w:rsid w:val="00C447B5"/>
    <w:rsid w:val="00C44841"/>
    <w:rsid w:val="00C45C0A"/>
    <w:rsid w:val="00C46252"/>
    <w:rsid w:val="00C46D4C"/>
    <w:rsid w:val="00C470BF"/>
    <w:rsid w:val="00C4774F"/>
    <w:rsid w:val="00C50071"/>
    <w:rsid w:val="00C5008D"/>
    <w:rsid w:val="00C50602"/>
    <w:rsid w:val="00C51016"/>
    <w:rsid w:val="00C51863"/>
    <w:rsid w:val="00C519F0"/>
    <w:rsid w:val="00C5257A"/>
    <w:rsid w:val="00C532E1"/>
    <w:rsid w:val="00C533A0"/>
    <w:rsid w:val="00C53433"/>
    <w:rsid w:val="00C5377B"/>
    <w:rsid w:val="00C53945"/>
    <w:rsid w:val="00C54072"/>
    <w:rsid w:val="00C546A9"/>
    <w:rsid w:val="00C55074"/>
    <w:rsid w:val="00C55566"/>
    <w:rsid w:val="00C55A5F"/>
    <w:rsid w:val="00C55FF8"/>
    <w:rsid w:val="00C567CD"/>
    <w:rsid w:val="00C570D7"/>
    <w:rsid w:val="00C5744C"/>
    <w:rsid w:val="00C57C2C"/>
    <w:rsid w:val="00C60712"/>
    <w:rsid w:val="00C608FF"/>
    <w:rsid w:val="00C62955"/>
    <w:rsid w:val="00C63AF7"/>
    <w:rsid w:val="00C63E3D"/>
    <w:rsid w:val="00C6517E"/>
    <w:rsid w:val="00C65539"/>
    <w:rsid w:val="00C65A96"/>
    <w:rsid w:val="00C66713"/>
    <w:rsid w:val="00C6697E"/>
    <w:rsid w:val="00C67BD7"/>
    <w:rsid w:val="00C70163"/>
    <w:rsid w:val="00C70CC5"/>
    <w:rsid w:val="00C70E6B"/>
    <w:rsid w:val="00C71394"/>
    <w:rsid w:val="00C72D91"/>
    <w:rsid w:val="00C72DBC"/>
    <w:rsid w:val="00C7428A"/>
    <w:rsid w:val="00C74B9C"/>
    <w:rsid w:val="00C74CE9"/>
    <w:rsid w:val="00C75670"/>
    <w:rsid w:val="00C75918"/>
    <w:rsid w:val="00C75F4E"/>
    <w:rsid w:val="00C768B6"/>
    <w:rsid w:val="00C76D57"/>
    <w:rsid w:val="00C77241"/>
    <w:rsid w:val="00C773FE"/>
    <w:rsid w:val="00C774D1"/>
    <w:rsid w:val="00C77BAE"/>
    <w:rsid w:val="00C77C41"/>
    <w:rsid w:val="00C80090"/>
    <w:rsid w:val="00C80096"/>
    <w:rsid w:val="00C8017A"/>
    <w:rsid w:val="00C8066E"/>
    <w:rsid w:val="00C80D54"/>
    <w:rsid w:val="00C81125"/>
    <w:rsid w:val="00C82079"/>
    <w:rsid w:val="00C820CD"/>
    <w:rsid w:val="00C821B9"/>
    <w:rsid w:val="00C823C0"/>
    <w:rsid w:val="00C8308E"/>
    <w:rsid w:val="00C83D69"/>
    <w:rsid w:val="00C841D5"/>
    <w:rsid w:val="00C85A01"/>
    <w:rsid w:val="00C8605C"/>
    <w:rsid w:val="00C876C6"/>
    <w:rsid w:val="00C87B3E"/>
    <w:rsid w:val="00C90F9B"/>
    <w:rsid w:val="00C912DD"/>
    <w:rsid w:val="00C91D21"/>
    <w:rsid w:val="00C925BD"/>
    <w:rsid w:val="00C92865"/>
    <w:rsid w:val="00C92BCC"/>
    <w:rsid w:val="00C92FD1"/>
    <w:rsid w:val="00C954F4"/>
    <w:rsid w:val="00C9587F"/>
    <w:rsid w:val="00C9633D"/>
    <w:rsid w:val="00C963A6"/>
    <w:rsid w:val="00C969E0"/>
    <w:rsid w:val="00C96D32"/>
    <w:rsid w:val="00C97E7E"/>
    <w:rsid w:val="00CA1542"/>
    <w:rsid w:val="00CA1BC2"/>
    <w:rsid w:val="00CA1D94"/>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5694"/>
    <w:rsid w:val="00CB5853"/>
    <w:rsid w:val="00CB5EC1"/>
    <w:rsid w:val="00CB6C0B"/>
    <w:rsid w:val="00CB7242"/>
    <w:rsid w:val="00CC067D"/>
    <w:rsid w:val="00CC0B85"/>
    <w:rsid w:val="00CC0E36"/>
    <w:rsid w:val="00CC1186"/>
    <w:rsid w:val="00CC13DE"/>
    <w:rsid w:val="00CC262C"/>
    <w:rsid w:val="00CC29C3"/>
    <w:rsid w:val="00CC2C5D"/>
    <w:rsid w:val="00CC2CDD"/>
    <w:rsid w:val="00CC47C2"/>
    <w:rsid w:val="00CC4DE1"/>
    <w:rsid w:val="00CC532A"/>
    <w:rsid w:val="00CC607B"/>
    <w:rsid w:val="00CC6678"/>
    <w:rsid w:val="00CD010F"/>
    <w:rsid w:val="00CD061D"/>
    <w:rsid w:val="00CD06AB"/>
    <w:rsid w:val="00CD0DE9"/>
    <w:rsid w:val="00CD19F2"/>
    <w:rsid w:val="00CD1B21"/>
    <w:rsid w:val="00CD2507"/>
    <w:rsid w:val="00CD345B"/>
    <w:rsid w:val="00CD3485"/>
    <w:rsid w:val="00CD4F09"/>
    <w:rsid w:val="00CD590F"/>
    <w:rsid w:val="00CD5A06"/>
    <w:rsid w:val="00CD747F"/>
    <w:rsid w:val="00CD751D"/>
    <w:rsid w:val="00CE0D1E"/>
    <w:rsid w:val="00CE18AE"/>
    <w:rsid w:val="00CE31F7"/>
    <w:rsid w:val="00CE332A"/>
    <w:rsid w:val="00CE3645"/>
    <w:rsid w:val="00CE3E80"/>
    <w:rsid w:val="00CE4826"/>
    <w:rsid w:val="00CE4A26"/>
    <w:rsid w:val="00CE5610"/>
    <w:rsid w:val="00CE5CC5"/>
    <w:rsid w:val="00CE5D04"/>
    <w:rsid w:val="00CE5DEB"/>
    <w:rsid w:val="00CE6C61"/>
    <w:rsid w:val="00CF04AF"/>
    <w:rsid w:val="00CF0A93"/>
    <w:rsid w:val="00CF0BBA"/>
    <w:rsid w:val="00CF0C03"/>
    <w:rsid w:val="00CF0F88"/>
    <w:rsid w:val="00CF1D59"/>
    <w:rsid w:val="00CF1D6D"/>
    <w:rsid w:val="00CF358F"/>
    <w:rsid w:val="00CF39B0"/>
    <w:rsid w:val="00CF3A56"/>
    <w:rsid w:val="00CF3E55"/>
    <w:rsid w:val="00CF3F0B"/>
    <w:rsid w:val="00CF53D2"/>
    <w:rsid w:val="00CF57B9"/>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CA9"/>
    <w:rsid w:val="00D0642C"/>
    <w:rsid w:val="00D07238"/>
    <w:rsid w:val="00D0780F"/>
    <w:rsid w:val="00D07D4D"/>
    <w:rsid w:val="00D12C9B"/>
    <w:rsid w:val="00D13628"/>
    <w:rsid w:val="00D137DC"/>
    <w:rsid w:val="00D13BA5"/>
    <w:rsid w:val="00D13BFC"/>
    <w:rsid w:val="00D1653A"/>
    <w:rsid w:val="00D1678E"/>
    <w:rsid w:val="00D17B78"/>
    <w:rsid w:val="00D17F6C"/>
    <w:rsid w:val="00D202CE"/>
    <w:rsid w:val="00D209E9"/>
    <w:rsid w:val="00D20F80"/>
    <w:rsid w:val="00D21102"/>
    <w:rsid w:val="00D2196A"/>
    <w:rsid w:val="00D21C7C"/>
    <w:rsid w:val="00D21D75"/>
    <w:rsid w:val="00D21DBF"/>
    <w:rsid w:val="00D2256F"/>
    <w:rsid w:val="00D22856"/>
    <w:rsid w:val="00D2392B"/>
    <w:rsid w:val="00D249C8"/>
    <w:rsid w:val="00D24E03"/>
    <w:rsid w:val="00D24FDF"/>
    <w:rsid w:val="00D25448"/>
    <w:rsid w:val="00D257B2"/>
    <w:rsid w:val="00D25B4F"/>
    <w:rsid w:val="00D26238"/>
    <w:rsid w:val="00D26C6E"/>
    <w:rsid w:val="00D270E3"/>
    <w:rsid w:val="00D276D8"/>
    <w:rsid w:val="00D31349"/>
    <w:rsid w:val="00D321FE"/>
    <w:rsid w:val="00D3230E"/>
    <w:rsid w:val="00D32410"/>
    <w:rsid w:val="00D34243"/>
    <w:rsid w:val="00D34B81"/>
    <w:rsid w:val="00D34FE6"/>
    <w:rsid w:val="00D359D3"/>
    <w:rsid w:val="00D36356"/>
    <w:rsid w:val="00D37666"/>
    <w:rsid w:val="00D376BA"/>
    <w:rsid w:val="00D40458"/>
    <w:rsid w:val="00D41A09"/>
    <w:rsid w:val="00D42354"/>
    <w:rsid w:val="00D44010"/>
    <w:rsid w:val="00D44266"/>
    <w:rsid w:val="00D451DA"/>
    <w:rsid w:val="00D456DF"/>
    <w:rsid w:val="00D46200"/>
    <w:rsid w:val="00D465A0"/>
    <w:rsid w:val="00D46872"/>
    <w:rsid w:val="00D4741A"/>
    <w:rsid w:val="00D4762D"/>
    <w:rsid w:val="00D47800"/>
    <w:rsid w:val="00D47F20"/>
    <w:rsid w:val="00D51866"/>
    <w:rsid w:val="00D52FBC"/>
    <w:rsid w:val="00D5302C"/>
    <w:rsid w:val="00D5362A"/>
    <w:rsid w:val="00D53E4D"/>
    <w:rsid w:val="00D547B2"/>
    <w:rsid w:val="00D550E1"/>
    <w:rsid w:val="00D553A5"/>
    <w:rsid w:val="00D557FB"/>
    <w:rsid w:val="00D55E7E"/>
    <w:rsid w:val="00D56F03"/>
    <w:rsid w:val="00D5717C"/>
    <w:rsid w:val="00D57CD9"/>
    <w:rsid w:val="00D605F4"/>
    <w:rsid w:val="00D60694"/>
    <w:rsid w:val="00D60797"/>
    <w:rsid w:val="00D6100F"/>
    <w:rsid w:val="00D61224"/>
    <w:rsid w:val="00D612F0"/>
    <w:rsid w:val="00D616FE"/>
    <w:rsid w:val="00D62257"/>
    <w:rsid w:val="00D63294"/>
    <w:rsid w:val="00D6389D"/>
    <w:rsid w:val="00D63BD6"/>
    <w:rsid w:val="00D64198"/>
    <w:rsid w:val="00D642FB"/>
    <w:rsid w:val="00D649BC"/>
    <w:rsid w:val="00D65018"/>
    <w:rsid w:val="00D6550F"/>
    <w:rsid w:val="00D65705"/>
    <w:rsid w:val="00D659E5"/>
    <w:rsid w:val="00D66634"/>
    <w:rsid w:val="00D703AE"/>
    <w:rsid w:val="00D71398"/>
    <w:rsid w:val="00D71682"/>
    <w:rsid w:val="00D71A3D"/>
    <w:rsid w:val="00D71B1F"/>
    <w:rsid w:val="00D733CD"/>
    <w:rsid w:val="00D73711"/>
    <w:rsid w:val="00D73B19"/>
    <w:rsid w:val="00D73F80"/>
    <w:rsid w:val="00D74161"/>
    <w:rsid w:val="00D74783"/>
    <w:rsid w:val="00D74CAD"/>
    <w:rsid w:val="00D74FBB"/>
    <w:rsid w:val="00D7639E"/>
    <w:rsid w:val="00D7650A"/>
    <w:rsid w:val="00D769A2"/>
    <w:rsid w:val="00D77783"/>
    <w:rsid w:val="00D8137B"/>
    <w:rsid w:val="00D813B3"/>
    <w:rsid w:val="00D81A72"/>
    <w:rsid w:val="00D81D47"/>
    <w:rsid w:val="00D81F7B"/>
    <w:rsid w:val="00D825FD"/>
    <w:rsid w:val="00D82F6B"/>
    <w:rsid w:val="00D83017"/>
    <w:rsid w:val="00D84291"/>
    <w:rsid w:val="00D84413"/>
    <w:rsid w:val="00D84591"/>
    <w:rsid w:val="00D84791"/>
    <w:rsid w:val="00D850CF"/>
    <w:rsid w:val="00D85E65"/>
    <w:rsid w:val="00D86978"/>
    <w:rsid w:val="00D86F9A"/>
    <w:rsid w:val="00D87D86"/>
    <w:rsid w:val="00D9039D"/>
    <w:rsid w:val="00D90C7D"/>
    <w:rsid w:val="00D90F8D"/>
    <w:rsid w:val="00D910B8"/>
    <w:rsid w:val="00D91560"/>
    <w:rsid w:val="00D91693"/>
    <w:rsid w:val="00D91CCD"/>
    <w:rsid w:val="00D91E73"/>
    <w:rsid w:val="00D93C5A"/>
    <w:rsid w:val="00D93F00"/>
    <w:rsid w:val="00D9423D"/>
    <w:rsid w:val="00D9461A"/>
    <w:rsid w:val="00D94AC1"/>
    <w:rsid w:val="00D94FFF"/>
    <w:rsid w:val="00D95979"/>
    <w:rsid w:val="00D96030"/>
    <w:rsid w:val="00D96365"/>
    <w:rsid w:val="00D97728"/>
    <w:rsid w:val="00D97AD7"/>
    <w:rsid w:val="00D97C04"/>
    <w:rsid w:val="00D97EE2"/>
    <w:rsid w:val="00DA16EE"/>
    <w:rsid w:val="00DA1DCD"/>
    <w:rsid w:val="00DA243A"/>
    <w:rsid w:val="00DA2BCC"/>
    <w:rsid w:val="00DA3112"/>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1426"/>
    <w:rsid w:val="00DB1B10"/>
    <w:rsid w:val="00DB1DF5"/>
    <w:rsid w:val="00DB2158"/>
    <w:rsid w:val="00DB2A21"/>
    <w:rsid w:val="00DB2D00"/>
    <w:rsid w:val="00DB324F"/>
    <w:rsid w:val="00DB3A7E"/>
    <w:rsid w:val="00DB3BB1"/>
    <w:rsid w:val="00DB42A5"/>
    <w:rsid w:val="00DB45E2"/>
    <w:rsid w:val="00DB4DFA"/>
    <w:rsid w:val="00DB51F6"/>
    <w:rsid w:val="00DB5465"/>
    <w:rsid w:val="00DB67CB"/>
    <w:rsid w:val="00DB7DFE"/>
    <w:rsid w:val="00DC0657"/>
    <w:rsid w:val="00DC0EC2"/>
    <w:rsid w:val="00DC0FA7"/>
    <w:rsid w:val="00DC1611"/>
    <w:rsid w:val="00DC2D5A"/>
    <w:rsid w:val="00DC2FF5"/>
    <w:rsid w:val="00DC331F"/>
    <w:rsid w:val="00DC3F01"/>
    <w:rsid w:val="00DC5E1E"/>
    <w:rsid w:val="00DC6531"/>
    <w:rsid w:val="00DC6577"/>
    <w:rsid w:val="00DC684A"/>
    <w:rsid w:val="00DC6E74"/>
    <w:rsid w:val="00DC7714"/>
    <w:rsid w:val="00DC7FF3"/>
    <w:rsid w:val="00DD0323"/>
    <w:rsid w:val="00DD0811"/>
    <w:rsid w:val="00DD0A5D"/>
    <w:rsid w:val="00DD0D02"/>
    <w:rsid w:val="00DD0D21"/>
    <w:rsid w:val="00DD0E97"/>
    <w:rsid w:val="00DD1998"/>
    <w:rsid w:val="00DD2558"/>
    <w:rsid w:val="00DD25CB"/>
    <w:rsid w:val="00DD2A43"/>
    <w:rsid w:val="00DD4A4F"/>
    <w:rsid w:val="00DD4AF5"/>
    <w:rsid w:val="00DD4BCD"/>
    <w:rsid w:val="00DD5EF8"/>
    <w:rsid w:val="00DD5F4C"/>
    <w:rsid w:val="00DD5FBE"/>
    <w:rsid w:val="00DD63EE"/>
    <w:rsid w:val="00DD67D6"/>
    <w:rsid w:val="00DD69DB"/>
    <w:rsid w:val="00DD6CAF"/>
    <w:rsid w:val="00DD7419"/>
    <w:rsid w:val="00DD76E1"/>
    <w:rsid w:val="00DE0771"/>
    <w:rsid w:val="00DE0E1B"/>
    <w:rsid w:val="00DE11DC"/>
    <w:rsid w:val="00DE14E2"/>
    <w:rsid w:val="00DE1997"/>
    <w:rsid w:val="00DE1A38"/>
    <w:rsid w:val="00DE2318"/>
    <w:rsid w:val="00DE2CBB"/>
    <w:rsid w:val="00DE39F5"/>
    <w:rsid w:val="00DE41D7"/>
    <w:rsid w:val="00DE4B4D"/>
    <w:rsid w:val="00DE54FD"/>
    <w:rsid w:val="00DE5802"/>
    <w:rsid w:val="00DE5DB7"/>
    <w:rsid w:val="00DE6792"/>
    <w:rsid w:val="00DE6969"/>
    <w:rsid w:val="00DF16A2"/>
    <w:rsid w:val="00DF1C6A"/>
    <w:rsid w:val="00DF24D2"/>
    <w:rsid w:val="00DF28EC"/>
    <w:rsid w:val="00DF2BF3"/>
    <w:rsid w:val="00DF2DFA"/>
    <w:rsid w:val="00DF317D"/>
    <w:rsid w:val="00DF3231"/>
    <w:rsid w:val="00DF3A42"/>
    <w:rsid w:val="00DF493A"/>
    <w:rsid w:val="00DF4951"/>
    <w:rsid w:val="00DF4A19"/>
    <w:rsid w:val="00DF580A"/>
    <w:rsid w:val="00DF6787"/>
    <w:rsid w:val="00DF7685"/>
    <w:rsid w:val="00E002B9"/>
    <w:rsid w:val="00E00D43"/>
    <w:rsid w:val="00E01E42"/>
    <w:rsid w:val="00E020A3"/>
    <w:rsid w:val="00E02685"/>
    <w:rsid w:val="00E0286B"/>
    <w:rsid w:val="00E02A7D"/>
    <w:rsid w:val="00E0385A"/>
    <w:rsid w:val="00E0403E"/>
    <w:rsid w:val="00E04D0D"/>
    <w:rsid w:val="00E0523A"/>
    <w:rsid w:val="00E053C3"/>
    <w:rsid w:val="00E06465"/>
    <w:rsid w:val="00E06A20"/>
    <w:rsid w:val="00E06CF4"/>
    <w:rsid w:val="00E07944"/>
    <w:rsid w:val="00E07BF7"/>
    <w:rsid w:val="00E10487"/>
    <w:rsid w:val="00E106B7"/>
    <w:rsid w:val="00E1094C"/>
    <w:rsid w:val="00E111B3"/>
    <w:rsid w:val="00E11A2C"/>
    <w:rsid w:val="00E11A68"/>
    <w:rsid w:val="00E11B7A"/>
    <w:rsid w:val="00E1304D"/>
    <w:rsid w:val="00E1339F"/>
    <w:rsid w:val="00E13471"/>
    <w:rsid w:val="00E137BA"/>
    <w:rsid w:val="00E13841"/>
    <w:rsid w:val="00E13AFA"/>
    <w:rsid w:val="00E13BCB"/>
    <w:rsid w:val="00E13D25"/>
    <w:rsid w:val="00E14035"/>
    <w:rsid w:val="00E14BA4"/>
    <w:rsid w:val="00E15069"/>
    <w:rsid w:val="00E16554"/>
    <w:rsid w:val="00E16AE7"/>
    <w:rsid w:val="00E16EB0"/>
    <w:rsid w:val="00E17375"/>
    <w:rsid w:val="00E174C7"/>
    <w:rsid w:val="00E1764F"/>
    <w:rsid w:val="00E17E9D"/>
    <w:rsid w:val="00E200BC"/>
    <w:rsid w:val="00E20DEC"/>
    <w:rsid w:val="00E21132"/>
    <w:rsid w:val="00E21830"/>
    <w:rsid w:val="00E21846"/>
    <w:rsid w:val="00E21BCF"/>
    <w:rsid w:val="00E2220A"/>
    <w:rsid w:val="00E2284B"/>
    <w:rsid w:val="00E22F1E"/>
    <w:rsid w:val="00E23F4C"/>
    <w:rsid w:val="00E24C8F"/>
    <w:rsid w:val="00E24E78"/>
    <w:rsid w:val="00E2535E"/>
    <w:rsid w:val="00E25731"/>
    <w:rsid w:val="00E2661D"/>
    <w:rsid w:val="00E2668B"/>
    <w:rsid w:val="00E26A1E"/>
    <w:rsid w:val="00E26DED"/>
    <w:rsid w:val="00E27865"/>
    <w:rsid w:val="00E27DDF"/>
    <w:rsid w:val="00E308AF"/>
    <w:rsid w:val="00E3162E"/>
    <w:rsid w:val="00E31805"/>
    <w:rsid w:val="00E31CEF"/>
    <w:rsid w:val="00E320BA"/>
    <w:rsid w:val="00E32790"/>
    <w:rsid w:val="00E32C3C"/>
    <w:rsid w:val="00E32DC6"/>
    <w:rsid w:val="00E33922"/>
    <w:rsid w:val="00E3447C"/>
    <w:rsid w:val="00E34DA2"/>
    <w:rsid w:val="00E355D4"/>
    <w:rsid w:val="00E36E6B"/>
    <w:rsid w:val="00E3770E"/>
    <w:rsid w:val="00E37B10"/>
    <w:rsid w:val="00E40B67"/>
    <w:rsid w:val="00E41271"/>
    <w:rsid w:val="00E416DC"/>
    <w:rsid w:val="00E41C73"/>
    <w:rsid w:val="00E41FDA"/>
    <w:rsid w:val="00E4237E"/>
    <w:rsid w:val="00E434E2"/>
    <w:rsid w:val="00E43F71"/>
    <w:rsid w:val="00E44481"/>
    <w:rsid w:val="00E4464D"/>
    <w:rsid w:val="00E4488C"/>
    <w:rsid w:val="00E44F40"/>
    <w:rsid w:val="00E45133"/>
    <w:rsid w:val="00E4535B"/>
    <w:rsid w:val="00E45427"/>
    <w:rsid w:val="00E474B1"/>
    <w:rsid w:val="00E475D1"/>
    <w:rsid w:val="00E47985"/>
    <w:rsid w:val="00E47EBF"/>
    <w:rsid w:val="00E50086"/>
    <w:rsid w:val="00E50B28"/>
    <w:rsid w:val="00E514B3"/>
    <w:rsid w:val="00E53047"/>
    <w:rsid w:val="00E538A9"/>
    <w:rsid w:val="00E54A8B"/>
    <w:rsid w:val="00E54C23"/>
    <w:rsid w:val="00E5553D"/>
    <w:rsid w:val="00E5607D"/>
    <w:rsid w:val="00E563E6"/>
    <w:rsid w:val="00E564AE"/>
    <w:rsid w:val="00E57348"/>
    <w:rsid w:val="00E57562"/>
    <w:rsid w:val="00E575B1"/>
    <w:rsid w:val="00E57BC7"/>
    <w:rsid w:val="00E60466"/>
    <w:rsid w:val="00E61B1A"/>
    <w:rsid w:val="00E6212D"/>
    <w:rsid w:val="00E629CA"/>
    <w:rsid w:val="00E62ADB"/>
    <w:rsid w:val="00E630F1"/>
    <w:rsid w:val="00E63303"/>
    <w:rsid w:val="00E63C0C"/>
    <w:rsid w:val="00E640D4"/>
    <w:rsid w:val="00E641B4"/>
    <w:rsid w:val="00E64213"/>
    <w:rsid w:val="00E64E94"/>
    <w:rsid w:val="00E64FA3"/>
    <w:rsid w:val="00E65A89"/>
    <w:rsid w:val="00E662CF"/>
    <w:rsid w:val="00E6670C"/>
    <w:rsid w:val="00E66859"/>
    <w:rsid w:val="00E66CF5"/>
    <w:rsid w:val="00E66D35"/>
    <w:rsid w:val="00E66E4A"/>
    <w:rsid w:val="00E6728B"/>
    <w:rsid w:val="00E6741B"/>
    <w:rsid w:val="00E678E9"/>
    <w:rsid w:val="00E679CC"/>
    <w:rsid w:val="00E709C4"/>
    <w:rsid w:val="00E70CD5"/>
    <w:rsid w:val="00E71877"/>
    <w:rsid w:val="00E718C0"/>
    <w:rsid w:val="00E72553"/>
    <w:rsid w:val="00E7332D"/>
    <w:rsid w:val="00E742D2"/>
    <w:rsid w:val="00E74705"/>
    <w:rsid w:val="00E74EFC"/>
    <w:rsid w:val="00E751B2"/>
    <w:rsid w:val="00E75349"/>
    <w:rsid w:val="00E75FCD"/>
    <w:rsid w:val="00E76038"/>
    <w:rsid w:val="00E7682D"/>
    <w:rsid w:val="00E76C80"/>
    <w:rsid w:val="00E76F24"/>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AA"/>
    <w:rsid w:val="00E85EB1"/>
    <w:rsid w:val="00E865D5"/>
    <w:rsid w:val="00E8672A"/>
    <w:rsid w:val="00E869A1"/>
    <w:rsid w:val="00E86FC0"/>
    <w:rsid w:val="00E87961"/>
    <w:rsid w:val="00E91E40"/>
    <w:rsid w:val="00E92D88"/>
    <w:rsid w:val="00E9344C"/>
    <w:rsid w:val="00E93D77"/>
    <w:rsid w:val="00E942FA"/>
    <w:rsid w:val="00E95A4A"/>
    <w:rsid w:val="00E960E7"/>
    <w:rsid w:val="00E96953"/>
    <w:rsid w:val="00E97A81"/>
    <w:rsid w:val="00E97E55"/>
    <w:rsid w:val="00EA090D"/>
    <w:rsid w:val="00EA0A84"/>
    <w:rsid w:val="00EA0C9F"/>
    <w:rsid w:val="00EA0FB5"/>
    <w:rsid w:val="00EA157E"/>
    <w:rsid w:val="00EA2EE2"/>
    <w:rsid w:val="00EA32C8"/>
    <w:rsid w:val="00EA37BF"/>
    <w:rsid w:val="00EA3875"/>
    <w:rsid w:val="00EA516F"/>
    <w:rsid w:val="00EA7060"/>
    <w:rsid w:val="00EB3B08"/>
    <w:rsid w:val="00EB4C30"/>
    <w:rsid w:val="00EB5A26"/>
    <w:rsid w:val="00EB6261"/>
    <w:rsid w:val="00EB67F4"/>
    <w:rsid w:val="00EB703C"/>
    <w:rsid w:val="00EB7198"/>
    <w:rsid w:val="00EB73E1"/>
    <w:rsid w:val="00EB74D9"/>
    <w:rsid w:val="00EB775E"/>
    <w:rsid w:val="00EC06ED"/>
    <w:rsid w:val="00EC0A77"/>
    <w:rsid w:val="00EC0D04"/>
    <w:rsid w:val="00EC27D1"/>
    <w:rsid w:val="00EC31C1"/>
    <w:rsid w:val="00EC3845"/>
    <w:rsid w:val="00EC3D16"/>
    <w:rsid w:val="00EC44B6"/>
    <w:rsid w:val="00EC46F9"/>
    <w:rsid w:val="00EC5C7B"/>
    <w:rsid w:val="00EC6102"/>
    <w:rsid w:val="00EC6B7F"/>
    <w:rsid w:val="00ED036B"/>
    <w:rsid w:val="00ED0B6F"/>
    <w:rsid w:val="00ED140F"/>
    <w:rsid w:val="00ED1FB5"/>
    <w:rsid w:val="00ED20D3"/>
    <w:rsid w:val="00ED2849"/>
    <w:rsid w:val="00ED30FD"/>
    <w:rsid w:val="00ED418D"/>
    <w:rsid w:val="00ED5945"/>
    <w:rsid w:val="00ED6B11"/>
    <w:rsid w:val="00ED6F50"/>
    <w:rsid w:val="00ED6FDA"/>
    <w:rsid w:val="00ED7009"/>
    <w:rsid w:val="00ED74E8"/>
    <w:rsid w:val="00ED7D73"/>
    <w:rsid w:val="00EE0F22"/>
    <w:rsid w:val="00EE1D99"/>
    <w:rsid w:val="00EE3057"/>
    <w:rsid w:val="00EE46E8"/>
    <w:rsid w:val="00EE4A34"/>
    <w:rsid w:val="00EE513A"/>
    <w:rsid w:val="00EE5CC5"/>
    <w:rsid w:val="00EE610E"/>
    <w:rsid w:val="00EE61BC"/>
    <w:rsid w:val="00EE61FE"/>
    <w:rsid w:val="00EE631A"/>
    <w:rsid w:val="00EE6A87"/>
    <w:rsid w:val="00EE79DC"/>
    <w:rsid w:val="00EE7FBF"/>
    <w:rsid w:val="00EF04F9"/>
    <w:rsid w:val="00EF06C8"/>
    <w:rsid w:val="00EF0E9D"/>
    <w:rsid w:val="00EF1323"/>
    <w:rsid w:val="00EF2EEE"/>
    <w:rsid w:val="00EF422B"/>
    <w:rsid w:val="00EF4368"/>
    <w:rsid w:val="00EF4B95"/>
    <w:rsid w:val="00EF4DC4"/>
    <w:rsid w:val="00EF714F"/>
    <w:rsid w:val="00EF77D2"/>
    <w:rsid w:val="00F003F2"/>
    <w:rsid w:val="00F008AA"/>
    <w:rsid w:val="00F00A8C"/>
    <w:rsid w:val="00F010AC"/>
    <w:rsid w:val="00F0159A"/>
    <w:rsid w:val="00F01656"/>
    <w:rsid w:val="00F01777"/>
    <w:rsid w:val="00F01F40"/>
    <w:rsid w:val="00F021B0"/>
    <w:rsid w:val="00F02F17"/>
    <w:rsid w:val="00F03089"/>
    <w:rsid w:val="00F03162"/>
    <w:rsid w:val="00F04321"/>
    <w:rsid w:val="00F0440B"/>
    <w:rsid w:val="00F048E0"/>
    <w:rsid w:val="00F0496B"/>
    <w:rsid w:val="00F04EE7"/>
    <w:rsid w:val="00F05AB9"/>
    <w:rsid w:val="00F06488"/>
    <w:rsid w:val="00F067F7"/>
    <w:rsid w:val="00F06EAB"/>
    <w:rsid w:val="00F074BA"/>
    <w:rsid w:val="00F07909"/>
    <w:rsid w:val="00F07E0C"/>
    <w:rsid w:val="00F10905"/>
    <w:rsid w:val="00F11278"/>
    <w:rsid w:val="00F11535"/>
    <w:rsid w:val="00F11840"/>
    <w:rsid w:val="00F11869"/>
    <w:rsid w:val="00F12244"/>
    <w:rsid w:val="00F13461"/>
    <w:rsid w:val="00F136D8"/>
    <w:rsid w:val="00F13A39"/>
    <w:rsid w:val="00F13D5F"/>
    <w:rsid w:val="00F13DD0"/>
    <w:rsid w:val="00F1572E"/>
    <w:rsid w:val="00F15877"/>
    <w:rsid w:val="00F15C6E"/>
    <w:rsid w:val="00F15E4E"/>
    <w:rsid w:val="00F16286"/>
    <w:rsid w:val="00F16D1B"/>
    <w:rsid w:val="00F17370"/>
    <w:rsid w:val="00F176E6"/>
    <w:rsid w:val="00F2007E"/>
    <w:rsid w:val="00F204AC"/>
    <w:rsid w:val="00F20A11"/>
    <w:rsid w:val="00F20D2D"/>
    <w:rsid w:val="00F218CD"/>
    <w:rsid w:val="00F21A12"/>
    <w:rsid w:val="00F21B01"/>
    <w:rsid w:val="00F21D7D"/>
    <w:rsid w:val="00F23B4C"/>
    <w:rsid w:val="00F23FFC"/>
    <w:rsid w:val="00F240E1"/>
    <w:rsid w:val="00F241EC"/>
    <w:rsid w:val="00F243B9"/>
    <w:rsid w:val="00F243E1"/>
    <w:rsid w:val="00F24594"/>
    <w:rsid w:val="00F24777"/>
    <w:rsid w:val="00F24CBA"/>
    <w:rsid w:val="00F24EF0"/>
    <w:rsid w:val="00F26649"/>
    <w:rsid w:val="00F269B0"/>
    <w:rsid w:val="00F27125"/>
    <w:rsid w:val="00F2763A"/>
    <w:rsid w:val="00F27801"/>
    <w:rsid w:val="00F27A80"/>
    <w:rsid w:val="00F30145"/>
    <w:rsid w:val="00F3085A"/>
    <w:rsid w:val="00F30BF3"/>
    <w:rsid w:val="00F30CF9"/>
    <w:rsid w:val="00F32C6F"/>
    <w:rsid w:val="00F32E67"/>
    <w:rsid w:val="00F3341D"/>
    <w:rsid w:val="00F3356F"/>
    <w:rsid w:val="00F336E4"/>
    <w:rsid w:val="00F336F3"/>
    <w:rsid w:val="00F33A77"/>
    <w:rsid w:val="00F347AC"/>
    <w:rsid w:val="00F355B5"/>
    <w:rsid w:val="00F3565D"/>
    <w:rsid w:val="00F3685C"/>
    <w:rsid w:val="00F36CC9"/>
    <w:rsid w:val="00F36E5E"/>
    <w:rsid w:val="00F37F55"/>
    <w:rsid w:val="00F41A83"/>
    <w:rsid w:val="00F4225E"/>
    <w:rsid w:val="00F42501"/>
    <w:rsid w:val="00F42889"/>
    <w:rsid w:val="00F433BD"/>
    <w:rsid w:val="00F43850"/>
    <w:rsid w:val="00F44D49"/>
    <w:rsid w:val="00F45CEB"/>
    <w:rsid w:val="00F46691"/>
    <w:rsid w:val="00F467A3"/>
    <w:rsid w:val="00F46EA1"/>
    <w:rsid w:val="00F4729B"/>
    <w:rsid w:val="00F47434"/>
    <w:rsid w:val="00F47C00"/>
    <w:rsid w:val="00F502D9"/>
    <w:rsid w:val="00F50E13"/>
    <w:rsid w:val="00F50FCC"/>
    <w:rsid w:val="00F51410"/>
    <w:rsid w:val="00F5218C"/>
    <w:rsid w:val="00F535D2"/>
    <w:rsid w:val="00F542C2"/>
    <w:rsid w:val="00F54790"/>
    <w:rsid w:val="00F54DF6"/>
    <w:rsid w:val="00F56939"/>
    <w:rsid w:val="00F579C5"/>
    <w:rsid w:val="00F57BEF"/>
    <w:rsid w:val="00F606EF"/>
    <w:rsid w:val="00F60D18"/>
    <w:rsid w:val="00F616DD"/>
    <w:rsid w:val="00F6273C"/>
    <w:rsid w:val="00F637FB"/>
    <w:rsid w:val="00F642C6"/>
    <w:rsid w:val="00F64901"/>
    <w:rsid w:val="00F6498F"/>
    <w:rsid w:val="00F64F2B"/>
    <w:rsid w:val="00F65201"/>
    <w:rsid w:val="00F65876"/>
    <w:rsid w:val="00F66854"/>
    <w:rsid w:val="00F66A35"/>
    <w:rsid w:val="00F66D82"/>
    <w:rsid w:val="00F66EA0"/>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6A58"/>
    <w:rsid w:val="00F76CEF"/>
    <w:rsid w:val="00F7740A"/>
    <w:rsid w:val="00F81095"/>
    <w:rsid w:val="00F81C82"/>
    <w:rsid w:val="00F828C6"/>
    <w:rsid w:val="00F82F56"/>
    <w:rsid w:val="00F8305B"/>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2481"/>
    <w:rsid w:val="00F92C8E"/>
    <w:rsid w:val="00F92CDD"/>
    <w:rsid w:val="00F932EF"/>
    <w:rsid w:val="00F936A9"/>
    <w:rsid w:val="00F936CA"/>
    <w:rsid w:val="00F93B26"/>
    <w:rsid w:val="00F948D7"/>
    <w:rsid w:val="00F954D1"/>
    <w:rsid w:val="00F95933"/>
    <w:rsid w:val="00F95D4F"/>
    <w:rsid w:val="00F96AAB"/>
    <w:rsid w:val="00F9748B"/>
    <w:rsid w:val="00F9774A"/>
    <w:rsid w:val="00F97B72"/>
    <w:rsid w:val="00F97E72"/>
    <w:rsid w:val="00FA0386"/>
    <w:rsid w:val="00FA077D"/>
    <w:rsid w:val="00FA09EF"/>
    <w:rsid w:val="00FA0D17"/>
    <w:rsid w:val="00FA0E35"/>
    <w:rsid w:val="00FA0E7C"/>
    <w:rsid w:val="00FA1A23"/>
    <w:rsid w:val="00FA2350"/>
    <w:rsid w:val="00FA2933"/>
    <w:rsid w:val="00FA2ED3"/>
    <w:rsid w:val="00FA39A0"/>
    <w:rsid w:val="00FA4036"/>
    <w:rsid w:val="00FA5362"/>
    <w:rsid w:val="00FA5A59"/>
    <w:rsid w:val="00FA62A7"/>
    <w:rsid w:val="00FB0958"/>
    <w:rsid w:val="00FB0E20"/>
    <w:rsid w:val="00FB1BF5"/>
    <w:rsid w:val="00FB2993"/>
    <w:rsid w:val="00FB2BB6"/>
    <w:rsid w:val="00FB3DC4"/>
    <w:rsid w:val="00FB4781"/>
    <w:rsid w:val="00FB6C17"/>
    <w:rsid w:val="00FB7735"/>
    <w:rsid w:val="00FC095D"/>
    <w:rsid w:val="00FC2106"/>
    <w:rsid w:val="00FC2963"/>
    <w:rsid w:val="00FC2C42"/>
    <w:rsid w:val="00FC3DBA"/>
    <w:rsid w:val="00FC4006"/>
    <w:rsid w:val="00FC404B"/>
    <w:rsid w:val="00FC40B1"/>
    <w:rsid w:val="00FC50B6"/>
    <w:rsid w:val="00FC52A1"/>
    <w:rsid w:val="00FC53EE"/>
    <w:rsid w:val="00FC5726"/>
    <w:rsid w:val="00FC576A"/>
    <w:rsid w:val="00FC5DED"/>
    <w:rsid w:val="00FC621A"/>
    <w:rsid w:val="00FC628D"/>
    <w:rsid w:val="00FC6E7D"/>
    <w:rsid w:val="00FC737D"/>
    <w:rsid w:val="00FD00E5"/>
    <w:rsid w:val="00FD1977"/>
    <w:rsid w:val="00FD1EA4"/>
    <w:rsid w:val="00FD2F24"/>
    <w:rsid w:val="00FD3330"/>
    <w:rsid w:val="00FD4148"/>
    <w:rsid w:val="00FD41C7"/>
    <w:rsid w:val="00FD435C"/>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E04"/>
    <w:rsid w:val="00FE4229"/>
    <w:rsid w:val="00FE5654"/>
    <w:rsid w:val="00FE64CC"/>
    <w:rsid w:val="00FE667F"/>
    <w:rsid w:val="00FE776F"/>
    <w:rsid w:val="00FE7A29"/>
    <w:rsid w:val="00FE7F96"/>
    <w:rsid w:val="00FF02BA"/>
    <w:rsid w:val="00FF0691"/>
    <w:rsid w:val="00FF088C"/>
    <w:rsid w:val="00FF114D"/>
    <w:rsid w:val="00FF133E"/>
    <w:rsid w:val="00FF1357"/>
    <w:rsid w:val="00FF13D7"/>
    <w:rsid w:val="00FF143B"/>
    <w:rsid w:val="00FF1EBA"/>
    <w:rsid w:val="00FF2CBE"/>
    <w:rsid w:val="00FF4DCC"/>
    <w:rsid w:val="00FF5158"/>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qFormat="1"/>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Body Tex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qFormat/>
    <w:rsid w:val="00117554"/>
    <w:pPr>
      <w:widowControl w:val="0"/>
      <w:kinsoku w:val="0"/>
      <w:overflowPunct w:val="0"/>
      <w:textAlignment w:val="baseline"/>
    </w:pPr>
    <w:rPr>
      <w:rFonts w:ascii="Cambria" w:hAnsi="Cambria"/>
      <w14:numForm w14:val="oldStyle"/>
      <w14:numSpacing w14:val="proportional"/>
    </w:rPr>
  </w:style>
  <w:style w:type="paragraph" w:styleId="Heading1">
    <w:name w:val="heading 1"/>
    <w:basedOn w:val="Normal"/>
    <w:next w:val="Normal"/>
    <w:link w:val="Heading1Char"/>
    <w:qFormat/>
    <w:rsid w:val="00BA644F"/>
    <w:pPr>
      <w:keepNext/>
      <w:autoSpaceDE w:val="0"/>
      <w:autoSpaceDN w:val="0"/>
      <w:adjustRightInd w:val="0"/>
      <w:spacing w:before="120" w:after="60"/>
      <w:jc w:val="center"/>
      <w:outlineLvl w:val="0"/>
    </w:pPr>
    <w:rPr>
      <w:rFonts w:cs="Arial"/>
      <w:b/>
      <w:bCs/>
      <w:noProof/>
      <w:kern w:val="32"/>
      <w:sz w:val="24"/>
      <w:szCs w:val="24"/>
      <w14:numForm w14:val="default"/>
      <w14:numSpacing w14:val="default"/>
    </w:rPr>
  </w:style>
  <w:style w:type="paragraph" w:styleId="Heading2">
    <w:name w:val="heading 2"/>
    <w:basedOn w:val="Normal"/>
    <w:next w:val="Normal"/>
    <w:link w:val="Heading2Char"/>
    <w:qFormat/>
    <w:rsid w:val="00BA644F"/>
    <w:pPr>
      <w:keepNext/>
      <w:spacing w:before="120"/>
      <w:outlineLvl w:val="1"/>
    </w:pPr>
    <w:rPr>
      <w:b/>
      <w:noProof/>
      <w:sz w:val="24"/>
      <w:szCs w:val="24"/>
      <w14:numForm w14:val="default"/>
      <w14:numSpacing w14:val="default"/>
    </w:rPr>
  </w:style>
  <w:style w:type="paragraph" w:styleId="Heading3">
    <w:name w:val="heading 3"/>
    <w:basedOn w:val="Normal"/>
    <w:next w:val="Normal"/>
    <w:link w:val="Heading3Char"/>
    <w:qFormat/>
    <w:rsid w:val="00BA644F"/>
    <w:pPr>
      <w:keepNext/>
      <w:spacing w:before="120"/>
      <w:outlineLvl w:val="2"/>
    </w:pPr>
    <w:rPr>
      <w:rFonts w:cs="Arial"/>
      <w:b/>
      <w:bCs/>
      <w:i/>
      <w:noProof/>
      <w:sz w:val="22"/>
      <w14:numForm w14:val="default"/>
      <w14:numSpacing w14:val="default"/>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BA644F"/>
    <w:pPr>
      <w:keepNext/>
      <w:keepLines/>
      <w:spacing w:before="200"/>
      <w:outlineLvl w:val="4"/>
    </w:pPr>
    <w:rPr>
      <w:rFonts w:asciiTheme="majorHAnsi" w:eastAsiaTheme="majorEastAsia" w:hAnsiTheme="majorHAnsi" w:cstheme="majorBidi"/>
      <w:noProof/>
      <w:color w:val="243F60" w:themeColor="accent1" w:themeShade="7F"/>
      <w14:numForm w14:val="default"/>
      <w14:numSpacing w14:val="default"/>
    </w:rPr>
  </w:style>
  <w:style w:type="paragraph" w:styleId="Heading6">
    <w:name w:val="heading 6"/>
    <w:basedOn w:val="Normal"/>
    <w:next w:val="Normal"/>
    <w:link w:val="Heading6Char"/>
    <w:semiHidden/>
    <w:unhideWhenUsed/>
    <w:qFormat/>
    <w:rsid w:val="00BA644F"/>
    <w:pPr>
      <w:keepNext/>
      <w:keepLines/>
      <w:spacing w:before="200"/>
      <w:outlineLvl w:val="5"/>
    </w:pPr>
    <w:rPr>
      <w:rFonts w:asciiTheme="majorHAnsi" w:eastAsiaTheme="majorEastAsia" w:hAnsiTheme="majorHAnsi" w:cstheme="majorBidi"/>
      <w:i/>
      <w:iCs/>
      <w:noProof/>
      <w:color w:val="243F60" w:themeColor="accent1" w:themeShade="7F"/>
      <w14:numForm w14:val="default"/>
      <w14:numSpacing w14:val="default"/>
    </w:rPr>
  </w:style>
  <w:style w:type="paragraph" w:styleId="Heading7">
    <w:name w:val="heading 7"/>
    <w:basedOn w:val="Normal"/>
    <w:next w:val="Normal"/>
    <w:link w:val="Heading7Char"/>
    <w:semiHidden/>
    <w:unhideWhenUsed/>
    <w:qFormat/>
    <w:rsid w:val="00BA644F"/>
    <w:pPr>
      <w:keepNext/>
      <w:keepLines/>
      <w:spacing w:before="200"/>
      <w:outlineLvl w:val="6"/>
    </w:pPr>
    <w:rPr>
      <w:rFonts w:asciiTheme="majorHAnsi" w:eastAsiaTheme="majorEastAsia" w:hAnsiTheme="majorHAnsi" w:cstheme="majorBidi"/>
      <w:i/>
      <w:iCs/>
      <w:noProof/>
      <w:color w:val="404040" w:themeColor="text1" w:themeTint="BF"/>
      <w14:numForm w14:val="default"/>
      <w14:numSpacing w14:val="default"/>
    </w:rPr>
  </w:style>
  <w:style w:type="paragraph" w:styleId="Heading9">
    <w:name w:val="heading 9"/>
    <w:basedOn w:val="Normal"/>
    <w:next w:val="Normal"/>
    <w:link w:val="Heading9Char"/>
    <w:semiHidden/>
    <w:unhideWhenUsed/>
    <w:qFormat/>
    <w:rsid w:val="00BA644F"/>
    <w:pPr>
      <w:keepNext/>
      <w:keepLines/>
      <w:spacing w:before="200"/>
      <w:outlineLvl w:val="8"/>
    </w:pPr>
    <w:rPr>
      <w:rFonts w:asciiTheme="majorHAnsi" w:eastAsiaTheme="majorEastAsia" w:hAnsiTheme="majorHAnsi" w:cstheme="majorBidi"/>
      <w:i/>
      <w:iCs/>
      <w:noProof/>
      <w:color w:val="404040" w:themeColor="text1" w:themeTint="BF"/>
      <w14:numForm w14:val="default"/>
      <w14:numSpacing w14:val="defaul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BA644F"/>
    <w:pPr>
      <w:suppressAutoHyphens/>
      <w:overflowPunct/>
      <w:spacing w:before="120"/>
      <w:ind w:firstLine="284"/>
      <w:jc w:val="both"/>
      <w:textAlignment w:val="auto"/>
    </w:pPr>
  </w:style>
  <w:style w:type="paragraph" w:customStyle="1" w:styleId="BulletText">
    <w:name w:val="Bullet Text"/>
    <w:basedOn w:val="Text"/>
    <w:qFormat/>
    <w:rsid w:val="00BA644F"/>
    <w:pPr>
      <w:ind w:left="425" w:hanging="425"/>
    </w:pPr>
  </w:style>
  <w:style w:type="paragraph" w:customStyle="1" w:styleId="Bullettextcont">
    <w:name w:val="Bullet text cont"/>
    <w:basedOn w:val="BulletText"/>
    <w:qFormat/>
    <w:rsid w:val="00BA644F"/>
    <w:pPr>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74F5A"/>
  </w:style>
  <w:style w:type="character" w:customStyle="1" w:styleId="CommentTextChar">
    <w:name w:val="Comment Text Char"/>
    <w:link w:val="CommentText"/>
    <w:rsid w:val="00B74F5A"/>
    <w:rPr>
      <w:rFonts w:eastAsia="PMingLiU"/>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B74F5A"/>
    <w:pPr>
      <w:tabs>
        <w:tab w:val="left" w:pos="284"/>
      </w:tabs>
      <w:ind w:left="284" w:hanging="284"/>
    </w:pPr>
    <w:rPr>
      <w:kern w:val="20"/>
      <w:sz w:val="18"/>
    </w:rPr>
  </w:style>
  <w:style w:type="character" w:customStyle="1" w:styleId="EndnoteTextChar">
    <w:name w:val="Endnote Text Char"/>
    <w:link w:val="EndnoteText"/>
    <w:rsid w:val="00B74F5A"/>
    <w:rPr>
      <w:kern w:val="20"/>
      <w:sz w:val="18"/>
      <w:lang w:val="en-US"/>
      <w14:numForm w14:val="oldStyle"/>
      <w14:numSpacing w14:val="proportional"/>
    </w:rPr>
  </w:style>
  <w:style w:type="paragraph" w:styleId="Footer">
    <w:name w:val="footer"/>
    <w:basedOn w:val="Normal"/>
    <w:link w:val="FooterChar"/>
    <w:rsid w:val="00B74F5A"/>
    <w:pPr>
      <w:tabs>
        <w:tab w:val="center" w:pos="4320"/>
        <w:tab w:val="right" w:pos="8640"/>
      </w:tabs>
      <w:spacing w:before="40"/>
    </w:pPr>
    <w:rPr>
      <w:rFonts w:ascii="Calibri" w:hAnsi="Calibri"/>
      <w:sz w:val="18"/>
    </w:rPr>
  </w:style>
  <w:style w:type="character" w:customStyle="1" w:styleId="FooterChar">
    <w:name w:val="Footer Char"/>
    <w:link w:val="Footer"/>
    <w:rsid w:val="00B74F5A"/>
    <w:rPr>
      <w:rFonts w:ascii="Calibri" w:eastAsia="PMingLiU" w:hAnsi="Calibri"/>
      <w:sz w:val="18"/>
      <w:szCs w:val="22"/>
      <w14:numForm w14:val="oldStyle"/>
      <w14:numSpacing w14:val="proportional"/>
    </w:rPr>
  </w:style>
  <w:style w:type="character" w:styleId="FootnoteReference">
    <w:name w:val="footnote reference"/>
    <w:rsid w:val="00B74F5A"/>
    <w:rPr>
      <w:rFonts w:cs="Times New Roman"/>
      <w:noProof w:val="0"/>
      <w:position w:val="2"/>
      <w:vertAlign w:val="superscript"/>
      <w:lang w:val="en-GB"/>
      <w14:numForm w14:val="oldStyle"/>
      <w14:numSpacing w14:val="proportional"/>
    </w:rPr>
  </w:style>
  <w:style w:type="paragraph" w:styleId="FootnoteText">
    <w:name w:val="footnote text"/>
    <w:basedOn w:val="Normal"/>
    <w:link w:val="FootnoteTextChar"/>
    <w:qFormat/>
    <w:rsid w:val="001D57C2"/>
    <w:pPr>
      <w:keepLines/>
      <w:ind w:left="284" w:hanging="284"/>
      <w:jc w:val="both"/>
    </w:pPr>
    <w:rPr>
      <w:iCs/>
      <w:kern w:val="20"/>
      <w:sz w:val="18"/>
      <w:szCs w:val="18"/>
    </w:rPr>
  </w:style>
  <w:style w:type="character" w:customStyle="1" w:styleId="FootnoteTextChar">
    <w:name w:val="Footnote Text Char"/>
    <w:link w:val="FootnoteText"/>
    <w:rsid w:val="001D57C2"/>
    <w:rPr>
      <w:rFonts w:eastAsia="Times New Roman"/>
      <w:iCs/>
      <w:kern w:val="20"/>
      <w:sz w:val="18"/>
      <w:szCs w:val="18"/>
      <w14:numForm w14:val="oldStyle"/>
      <w14:numSpacing w14:val="proportional"/>
    </w:rPr>
  </w:style>
  <w:style w:type="paragraph" w:styleId="Header">
    <w:name w:val="header"/>
    <w:basedOn w:val="Normal"/>
    <w:link w:val="HeaderChar"/>
    <w:rsid w:val="00B74F5A"/>
    <w:pPr>
      <w:tabs>
        <w:tab w:val="center" w:pos="4680"/>
        <w:tab w:val="right" w:pos="9360"/>
      </w:tabs>
      <w:spacing w:after="120"/>
    </w:pPr>
    <w:rPr>
      <w:sz w:val="18"/>
    </w:rPr>
  </w:style>
  <w:style w:type="character" w:customStyle="1" w:styleId="HeaderChar">
    <w:name w:val="Header Char"/>
    <w:basedOn w:val="DefaultParagraphFont"/>
    <w:link w:val="Header"/>
    <w:rsid w:val="00B74F5A"/>
    <w:rPr>
      <w:sz w:val="18"/>
      <w14:numForm w14:val="oldStyle"/>
      <w14:numSpacing w14:val="proportional"/>
    </w:rPr>
  </w:style>
  <w:style w:type="character" w:customStyle="1" w:styleId="Heading1Char">
    <w:name w:val="Heading 1 Char"/>
    <w:link w:val="Heading1"/>
    <w:rsid w:val="00BA644F"/>
    <w:rPr>
      <w:rFonts w:ascii="Cambria" w:hAnsi="Cambria" w:cs="Arial"/>
      <w:b/>
      <w:bCs/>
      <w:noProof/>
      <w:kern w:val="32"/>
      <w:sz w:val="24"/>
      <w:szCs w:val="24"/>
    </w:rPr>
  </w:style>
  <w:style w:type="character" w:customStyle="1" w:styleId="Heading2Char">
    <w:name w:val="Heading 2 Char"/>
    <w:basedOn w:val="DefaultParagraphFont"/>
    <w:link w:val="Heading2"/>
    <w:rsid w:val="00BA644F"/>
    <w:rPr>
      <w:rFonts w:ascii="Cambria" w:hAnsi="Cambria"/>
      <w:b/>
      <w:noProof/>
      <w:sz w:val="24"/>
      <w:szCs w:val="24"/>
    </w:rPr>
  </w:style>
  <w:style w:type="character" w:customStyle="1" w:styleId="Heading3Char">
    <w:name w:val="Heading 3 Char"/>
    <w:link w:val="Heading3"/>
    <w:rsid w:val="00BA644F"/>
    <w:rPr>
      <w:rFonts w:ascii="Cambria" w:hAnsi="Cambria" w:cs="Arial"/>
      <w:b/>
      <w:bCs/>
      <w:i/>
      <w:noProof/>
      <w:sz w:val="22"/>
    </w:rPr>
  </w:style>
  <w:style w:type="paragraph" w:customStyle="1" w:styleId="Hidden">
    <w:name w:val="Hidden"/>
    <w:basedOn w:val="Normal"/>
    <w:qFormat/>
    <w:rsid w:val="00BA644F"/>
    <w:rPr>
      <w:vanish/>
      <w:color w:val="FF0000"/>
    </w:rPr>
  </w:style>
  <w:style w:type="paragraph" w:customStyle="1" w:styleId="Myhead">
    <w:name w:val="Myhead"/>
    <w:basedOn w:val="Normal"/>
    <w:rsid w:val="00B74F5A"/>
    <w:pPr>
      <w:keepNext/>
      <w:keepLines/>
      <w:spacing w:before="120"/>
    </w:pPr>
    <w:rPr>
      <w:b/>
    </w:rPr>
  </w:style>
  <w:style w:type="paragraph" w:customStyle="1" w:styleId="Myheadc">
    <w:name w:val="Myheadc"/>
    <w:basedOn w:val="Normal"/>
    <w:rsid w:val="00B53F88"/>
    <w:pPr>
      <w:keepNext/>
      <w:keepLines/>
      <w:spacing w:before="120"/>
      <w:jc w:val="center"/>
    </w:pPr>
    <w:rPr>
      <w:rFonts w:cs="Cambria"/>
      <w:b/>
      <w:sz w:val="28"/>
      <w:lang w:eastAsia="en-GB"/>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117554"/>
    <w:pPr>
      <w:spacing w:before="120"/>
      <w:ind w:left="567"/>
      <w:jc w:val="both"/>
    </w:pPr>
    <w:rPr>
      <w:rFonts w:cstheme="minorBidi"/>
      <w:iCs/>
    </w:rPr>
  </w:style>
  <w:style w:type="character" w:customStyle="1" w:styleId="QuoteChar">
    <w:name w:val="Quote Char"/>
    <w:link w:val="Quote"/>
    <w:rsid w:val="00117554"/>
    <w:rPr>
      <w:rFonts w:ascii="Cambria" w:hAnsi="Cambria" w:cstheme="minorBidi"/>
      <w:iCs/>
      <w14:numForm w14:val="oldStyle"/>
      <w14:numSpacing w14:val="proportional"/>
    </w:rPr>
  </w:style>
  <w:style w:type="paragraph" w:customStyle="1" w:styleId="Quotects">
    <w:name w:val="Quotects"/>
    <w:basedOn w:val="Normal"/>
    <w:qFormat/>
    <w:rsid w:val="00392638"/>
    <w:pPr>
      <w:ind w:left="567"/>
    </w:p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B74F5A"/>
    <w:pPr>
      <w:tabs>
        <w:tab w:val="right" w:pos="7450"/>
      </w:tabs>
      <w:spacing w:before="60"/>
      <w:ind w:left="567" w:firstLine="0"/>
    </w:pPr>
    <w:rPr>
      <w:sz w:val="18"/>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abletext">
    <w:name w:val="Table text"/>
    <w:basedOn w:val="Normal"/>
    <w:rsid w:val="00B74F5A"/>
    <w:rPr>
      <w14:numSpacing w14:val="tabular"/>
    </w:rPr>
  </w:style>
  <w:style w:type="paragraph" w:customStyle="1" w:styleId="Textcts">
    <w:name w:val="Textcts"/>
    <w:basedOn w:val="Text"/>
    <w:qFormat/>
    <w:rsid w:val="00BA644F"/>
    <w:pPr>
      <w:spacing w:before="0"/>
      <w:ind w:firstLine="0"/>
    </w:pPr>
    <w:rPr>
      <w:kern w:val="20"/>
    </w:rPr>
  </w:style>
  <w:style w:type="paragraph" w:styleId="TOC1">
    <w:name w:val="toc 1"/>
    <w:basedOn w:val="Normal"/>
    <w:next w:val="Normal"/>
    <w:autoRedefine/>
    <w:uiPriority w:val="39"/>
    <w:unhideWhenUsed/>
    <w:rsid w:val="001845FC"/>
    <w:pPr>
      <w:widowControl/>
      <w:tabs>
        <w:tab w:val="right" w:pos="284"/>
        <w:tab w:val="left" w:pos="425"/>
        <w:tab w:val="right" w:leader="dot" w:pos="6203"/>
        <w:tab w:val="right" w:pos="6594"/>
      </w:tabs>
      <w:spacing w:before="120"/>
    </w:pPr>
    <w:rPr>
      <w14:numSpacing w14:val="tabular"/>
    </w:rPr>
  </w:style>
  <w:style w:type="paragraph" w:styleId="TOC2">
    <w:name w:val="toc 2"/>
    <w:basedOn w:val="Normal"/>
    <w:next w:val="Normal"/>
    <w:autoRedefine/>
    <w:uiPriority w:val="39"/>
    <w:unhideWhenUsed/>
    <w:rsid w:val="001845FC"/>
    <w:pPr>
      <w:widowControl/>
      <w:tabs>
        <w:tab w:val="right" w:pos="567"/>
        <w:tab w:val="left" w:pos="709"/>
        <w:tab w:val="right" w:leader="dot" w:pos="6203"/>
        <w:tab w:val="right" w:pos="6594"/>
      </w:tabs>
    </w:pPr>
    <w:rPr>
      <w14:numSpacing w14:val="tabular"/>
    </w:rPr>
  </w:style>
  <w:style w:type="paragraph" w:styleId="TOC3">
    <w:name w:val="toc 3"/>
    <w:basedOn w:val="Normal"/>
    <w:next w:val="Normal"/>
    <w:uiPriority w:val="39"/>
    <w:rsid w:val="00723AE0"/>
    <w:pPr>
      <w:pageBreakBefore/>
      <w:spacing w:line="14" w:lineRule="auto"/>
    </w:pPr>
    <w:rPr>
      <w:i/>
      <w:color w:val="FFFFFF" w:themeColor="background1"/>
      <w:sz w:val="12"/>
      <w14:numSpacing w14:val="tabular"/>
    </w:rPr>
  </w:style>
  <w:style w:type="paragraph" w:styleId="TOC4">
    <w:name w:val="toc 4"/>
    <w:basedOn w:val="Normal"/>
    <w:next w:val="Normal"/>
    <w:uiPriority w:val="39"/>
    <w:rsid w:val="00B74F5A"/>
    <w:pPr>
      <w:tabs>
        <w:tab w:val="right" w:leader="dot" w:pos="7474"/>
      </w:tabs>
      <w:ind w:left="1276"/>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customStyle="1" w:styleId="Economistheading">
    <w:name w:val="Economist heading"/>
    <w:basedOn w:val="Normal"/>
    <w:link w:val="EconomistheadingChar"/>
    <w:rsid w:val="00B74F5A"/>
    <w:pPr>
      <w:keepNext/>
      <w:spacing w:before="120"/>
      <w:jc w:val="center"/>
      <w:outlineLvl w:val="1"/>
    </w:pPr>
    <w:rPr>
      <w:b/>
      <w:bCs/>
      <w:color w:val="E3120B"/>
      <w:sz w:val="24"/>
      <w:szCs w:val="36"/>
    </w:rPr>
  </w:style>
  <w:style w:type="character" w:customStyle="1" w:styleId="EconomistheadingChar">
    <w:name w:val="Economist heading Char"/>
    <w:link w:val="Economistheading"/>
    <w:rsid w:val="00B74F5A"/>
    <w:rPr>
      <w:rFonts w:eastAsia="PMingLiU"/>
      <w:b/>
      <w:bCs/>
      <w:color w:val="E3120B"/>
      <w:sz w:val="24"/>
      <w:szCs w:val="36"/>
      <w14:numForm w14:val="oldStyle"/>
      <w14:numSpacing w14:val="proportional"/>
    </w:rPr>
  </w:style>
  <w:style w:type="paragraph" w:styleId="Caption">
    <w:name w:val="caption"/>
    <w:basedOn w:val="Normal"/>
    <w:next w:val="Normal"/>
    <w:unhideWhenUsed/>
    <w:qFormat/>
    <w:rsid w:val="00BA644F"/>
    <w:pPr>
      <w:spacing w:after="200"/>
    </w:pPr>
    <w:rPr>
      <w:b/>
      <w:bCs/>
      <w:color w:val="4F81BD" w:themeColor="accent1"/>
      <w:sz w:val="18"/>
      <w:szCs w:val="18"/>
    </w:rPr>
  </w:style>
  <w:style w:type="character" w:customStyle="1" w:styleId="Heading9Char">
    <w:name w:val="Heading 9 Char"/>
    <w:basedOn w:val="DefaultParagraphFont"/>
    <w:link w:val="Heading9"/>
    <w:semiHidden/>
    <w:rsid w:val="00BA644F"/>
    <w:rPr>
      <w:rFonts w:asciiTheme="majorHAnsi" w:eastAsiaTheme="majorEastAsia" w:hAnsiTheme="majorHAnsi" w:cstheme="majorBidi"/>
      <w:i/>
      <w:iCs/>
      <w:noProof/>
      <w:color w:val="404040" w:themeColor="text1" w:themeTint="BF"/>
    </w:rPr>
  </w:style>
  <w:style w:type="character" w:customStyle="1" w:styleId="Heading6Char">
    <w:name w:val="Heading 6 Char"/>
    <w:basedOn w:val="DefaultParagraphFont"/>
    <w:link w:val="Heading6"/>
    <w:semiHidden/>
    <w:rsid w:val="00BA644F"/>
    <w:rPr>
      <w:rFonts w:asciiTheme="majorHAnsi" w:eastAsiaTheme="majorEastAsia" w:hAnsiTheme="majorHAnsi" w:cstheme="majorBidi"/>
      <w:i/>
      <w:iCs/>
      <w:noProof/>
      <w:color w:val="243F60" w:themeColor="accent1" w:themeShade="7F"/>
    </w:rPr>
  </w:style>
  <w:style w:type="character" w:customStyle="1" w:styleId="Heading5Char">
    <w:name w:val="Heading 5 Char"/>
    <w:basedOn w:val="DefaultParagraphFont"/>
    <w:link w:val="Heading5"/>
    <w:semiHidden/>
    <w:rsid w:val="00BA644F"/>
    <w:rPr>
      <w:rFonts w:asciiTheme="majorHAnsi" w:eastAsiaTheme="majorEastAsia" w:hAnsiTheme="majorHAnsi" w:cstheme="majorBidi"/>
      <w:noProof/>
      <w:color w:val="243F60" w:themeColor="accent1" w:themeShade="7F"/>
    </w:rPr>
  </w:style>
  <w:style w:type="character" w:customStyle="1" w:styleId="Heading7Char">
    <w:name w:val="Heading 7 Char"/>
    <w:basedOn w:val="DefaultParagraphFont"/>
    <w:link w:val="Heading7"/>
    <w:semiHidden/>
    <w:rsid w:val="00BA644F"/>
    <w:rPr>
      <w:rFonts w:asciiTheme="majorHAnsi" w:eastAsiaTheme="majorEastAsia" w:hAnsiTheme="majorHAnsi" w:cstheme="majorBidi"/>
      <w:i/>
      <w:iCs/>
      <w:noProof/>
      <w:color w:val="404040" w:themeColor="text1" w:themeTint="BF"/>
    </w:rPr>
  </w:style>
  <w:style w:type="paragraph" w:customStyle="1" w:styleId="Bullet2">
    <w:name w:val="Bullet2"/>
    <w:basedOn w:val="BulletText"/>
    <w:link w:val="Bullet2Char"/>
    <w:qFormat/>
    <w:rsid w:val="00BA644F"/>
    <w:pPr>
      <w:ind w:left="709"/>
    </w:pPr>
    <w:rPr>
      <w14:numSpacing w14:val="default"/>
    </w:rPr>
  </w:style>
  <w:style w:type="character" w:customStyle="1" w:styleId="Bullet2Char">
    <w:name w:val="Bullet2 Char"/>
    <w:basedOn w:val="DefaultParagraphFont"/>
    <w:link w:val="Bullet2"/>
    <w:rsid w:val="00BA644F"/>
    <w:rPr>
      <w:rFonts w:ascii="Cambria" w:hAnsi="Cambria"/>
      <w14:numForm w14:val="oldStyle"/>
    </w:rPr>
  </w:style>
  <w:style w:type="paragraph" w:customStyle="1" w:styleId="Bullet2ct">
    <w:name w:val="Bullet2 ct"/>
    <w:basedOn w:val="BulletText"/>
    <w:link w:val="Bullet2ctChar"/>
    <w:qFormat/>
    <w:rsid w:val="00BA644F"/>
    <w:pPr>
      <w:spacing w:before="0"/>
      <w:ind w:left="709"/>
    </w:pPr>
    <w:rPr>
      <w14:numSpacing w14:val="default"/>
    </w:rPr>
  </w:style>
  <w:style w:type="character" w:customStyle="1" w:styleId="Bullet2ctChar">
    <w:name w:val="Bullet2 ct Char"/>
    <w:basedOn w:val="DefaultParagraphFont"/>
    <w:link w:val="Bullet2ct"/>
    <w:rsid w:val="00BA644F"/>
    <w:rPr>
      <w:rFonts w:ascii="Cambria" w:hAnsi="Cambria"/>
      <w14:numForm w14:val="oldStyle"/>
    </w:rPr>
  </w:style>
  <w:style w:type="paragraph" w:customStyle="1" w:styleId="Translit">
    <w:name w:val="Translit"/>
    <w:basedOn w:val="Normal"/>
    <w:link w:val="TranslitChar"/>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rsid w:val="00B74F5A"/>
    <w:pPr>
      <w:keepNext/>
      <w:spacing w:before="120"/>
      <w:ind w:left="1418" w:hanging="567"/>
    </w:pPr>
    <w:rPr>
      <w:i/>
    </w:rPr>
  </w:style>
  <w:style w:type="paragraph" w:customStyle="1" w:styleId="Poetrycts">
    <w:name w:val="Poetrycts"/>
    <w:basedOn w:val="Poetry"/>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b/>
      <w:bCs/>
      <w:kern w:val="20"/>
      <w:sz w:val="18"/>
      <w:lang w:val="en-US"/>
      <w14:numForm w14:val="oldStyle"/>
      <w14:numSpacing w14:val="proportional"/>
    </w:rPr>
  </w:style>
  <w:style w:type="paragraph" w:customStyle="1" w:styleId="Textleftn">
    <w:name w:val="Text_leftn"/>
    <w:basedOn w:val="Normal"/>
    <w:link w:val="TextleftnChar"/>
    <w:rsid w:val="004B3F78"/>
    <w:pPr>
      <w:tabs>
        <w:tab w:val="left" w:pos="284"/>
      </w:tabs>
      <w:spacing w:before="120"/>
      <w:ind w:hanging="284"/>
      <w:jc w:val="both"/>
    </w:pPr>
  </w:style>
  <w:style w:type="character" w:customStyle="1" w:styleId="TextleftnChar">
    <w:name w:val="Text_leftn Char"/>
    <w:basedOn w:val="DefaultParagraphFont"/>
    <w:link w:val="Textleftn"/>
    <w:rsid w:val="004B3F78"/>
    <w:rPr>
      <w:rFonts w:eastAsia="PMingLiU"/>
      <w:szCs w:val="22"/>
      <w14:numForm w14:val="oldStyle"/>
      <w14:numSpacing w14:val="proportional"/>
    </w:rPr>
  </w:style>
  <w:style w:type="paragraph" w:customStyle="1" w:styleId="Textrightn">
    <w:name w:val="Text_rightn"/>
    <w:basedOn w:val="Textleftn"/>
    <w:link w:val="TextrightnChar"/>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14:numForm w14:val="oldStyle"/>
      <w14:numSpacing w14:val="proportional"/>
    </w:rPr>
  </w:style>
  <w:style w:type="character" w:customStyle="1" w:styleId="TextChar">
    <w:name w:val="Text Char"/>
    <w:basedOn w:val="DefaultParagraphFont"/>
    <w:link w:val="Text"/>
    <w:rsid w:val="00B74F5A"/>
    <w:rPr>
      <w:rFonts w:ascii="Cambria" w:hAnsi="Cambria"/>
      <w14:numForm w14:val="oldStyle"/>
      <w14:numSpacing w14:val="proportional"/>
    </w:rPr>
  </w:style>
  <w:style w:type="paragraph" w:customStyle="1" w:styleId="Rodwell">
    <w:name w:val="Rodwell"/>
    <w:basedOn w:val="Normal"/>
    <w:link w:val="RodwellChar"/>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B74F5A"/>
    <w:pPr>
      <w:spacing w:before="120"/>
      <w:jc w:val="both"/>
    </w:pPr>
    <w:rPr>
      <w:b/>
      <w:i/>
      <w:color w:val="000000" w:themeColor="text1"/>
      <w:lang w:eastAsia="en-GB"/>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B74F5A"/>
    <w:pPr>
      <w:tabs>
        <w:tab w:val="left" w:pos="284"/>
        <w:tab w:val="left" w:pos="567"/>
      </w:tabs>
      <w:ind w:left="284" w:hanging="284"/>
      <w:jc w:val="both"/>
    </w:pPr>
    <w:rPr>
      <w:sz w:val="18"/>
    </w:rPr>
  </w:style>
  <w:style w:type="paragraph" w:styleId="BodyText">
    <w:name w:val="Body Text"/>
    <w:basedOn w:val="Normal"/>
    <w:link w:val="BodyTextChar"/>
    <w:uiPriority w:val="1"/>
    <w:rsid w:val="00022AA6"/>
    <w:pPr>
      <w:jc w:val="both"/>
    </w:pPr>
  </w:style>
  <w:style w:type="character" w:customStyle="1" w:styleId="BodyTextChar">
    <w:name w:val="Body Text Char"/>
    <w:basedOn w:val="DefaultParagraphFont"/>
    <w:link w:val="BodyText"/>
    <w:uiPriority w:val="1"/>
    <w:rsid w:val="00022AA6"/>
    <w:rPr>
      <w:rFonts w:ascii="Times New Roman" w:eastAsia="Times New Roman" w:hAnsi="Times New Roman"/>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qFormat="1"/>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Body Tex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qFormat/>
    <w:rsid w:val="00117554"/>
    <w:pPr>
      <w:widowControl w:val="0"/>
      <w:kinsoku w:val="0"/>
      <w:overflowPunct w:val="0"/>
      <w:textAlignment w:val="baseline"/>
    </w:pPr>
    <w:rPr>
      <w:rFonts w:ascii="Cambria" w:hAnsi="Cambria"/>
      <w14:numForm w14:val="oldStyle"/>
      <w14:numSpacing w14:val="proportional"/>
    </w:rPr>
  </w:style>
  <w:style w:type="paragraph" w:styleId="Heading1">
    <w:name w:val="heading 1"/>
    <w:basedOn w:val="Normal"/>
    <w:next w:val="Normal"/>
    <w:link w:val="Heading1Char"/>
    <w:qFormat/>
    <w:rsid w:val="00BA644F"/>
    <w:pPr>
      <w:keepNext/>
      <w:autoSpaceDE w:val="0"/>
      <w:autoSpaceDN w:val="0"/>
      <w:adjustRightInd w:val="0"/>
      <w:spacing w:before="120" w:after="60"/>
      <w:jc w:val="center"/>
      <w:outlineLvl w:val="0"/>
    </w:pPr>
    <w:rPr>
      <w:rFonts w:cs="Arial"/>
      <w:b/>
      <w:bCs/>
      <w:noProof/>
      <w:kern w:val="32"/>
      <w:sz w:val="24"/>
      <w:szCs w:val="24"/>
      <w14:numForm w14:val="default"/>
      <w14:numSpacing w14:val="default"/>
    </w:rPr>
  </w:style>
  <w:style w:type="paragraph" w:styleId="Heading2">
    <w:name w:val="heading 2"/>
    <w:basedOn w:val="Normal"/>
    <w:next w:val="Normal"/>
    <w:link w:val="Heading2Char"/>
    <w:qFormat/>
    <w:rsid w:val="00BA644F"/>
    <w:pPr>
      <w:keepNext/>
      <w:spacing w:before="120"/>
      <w:outlineLvl w:val="1"/>
    </w:pPr>
    <w:rPr>
      <w:b/>
      <w:noProof/>
      <w:sz w:val="24"/>
      <w:szCs w:val="24"/>
      <w14:numForm w14:val="default"/>
      <w14:numSpacing w14:val="default"/>
    </w:rPr>
  </w:style>
  <w:style w:type="paragraph" w:styleId="Heading3">
    <w:name w:val="heading 3"/>
    <w:basedOn w:val="Normal"/>
    <w:next w:val="Normal"/>
    <w:link w:val="Heading3Char"/>
    <w:qFormat/>
    <w:rsid w:val="00BA644F"/>
    <w:pPr>
      <w:keepNext/>
      <w:spacing w:before="120"/>
      <w:outlineLvl w:val="2"/>
    </w:pPr>
    <w:rPr>
      <w:rFonts w:cs="Arial"/>
      <w:b/>
      <w:bCs/>
      <w:i/>
      <w:noProof/>
      <w:sz w:val="22"/>
      <w14:numForm w14:val="default"/>
      <w14:numSpacing w14:val="default"/>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BA644F"/>
    <w:pPr>
      <w:keepNext/>
      <w:keepLines/>
      <w:spacing w:before="200"/>
      <w:outlineLvl w:val="4"/>
    </w:pPr>
    <w:rPr>
      <w:rFonts w:asciiTheme="majorHAnsi" w:eastAsiaTheme="majorEastAsia" w:hAnsiTheme="majorHAnsi" w:cstheme="majorBidi"/>
      <w:noProof/>
      <w:color w:val="243F60" w:themeColor="accent1" w:themeShade="7F"/>
      <w14:numForm w14:val="default"/>
      <w14:numSpacing w14:val="default"/>
    </w:rPr>
  </w:style>
  <w:style w:type="paragraph" w:styleId="Heading6">
    <w:name w:val="heading 6"/>
    <w:basedOn w:val="Normal"/>
    <w:next w:val="Normal"/>
    <w:link w:val="Heading6Char"/>
    <w:semiHidden/>
    <w:unhideWhenUsed/>
    <w:qFormat/>
    <w:rsid w:val="00BA644F"/>
    <w:pPr>
      <w:keepNext/>
      <w:keepLines/>
      <w:spacing w:before="200"/>
      <w:outlineLvl w:val="5"/>
    </w:pPr>
    <w:rPr>
      <w:rFonts w:asciiTheme="majorHAnsi" w:eastAsiaTheme="majorEastAsia" w:hAnsiTheme="majorHAnsi" w:cstheme="majorBidi"/>
      <w:i/>
      <w:iCs/>
      <w:noProof/>
      <w:color w:val="243F60" w:themeColor="accent1" w:themeShade="7F"/>
      <w14:numForm w14:val="default"/>
      <w14:numSpacing w14:val="default"/>
    </w:rPr>
  </w:style>
  <w:style w:type="paragraph" w:styleId="Heading7">
    <w:name w:val="heading 7"/>
    <w:basedOn w:val="Normal"/>
    <w:next w:val="Normal"/>
    <w:link w:val="Heading7Char"/>
    <w:semiHidden/>
    <w:unhideWhenUsed/>
    <w:qFormat/>
    <w:rsid w:val="00BA644F"/>
    <w:pPr>
      <w:keepNext/>
      <w:keepLines/>
      <w:spacing w:before="200"/>
      <w:outlineLvl w:val="6"/>
    </w:pPr>
    <w:rPr>
      <w:rFonts w:asciiTheme="majorHAnsi" w:eastAsiaTheme="majorEastAsia" w:hAnsiTheme="majorHAnsi" w:cstheme="majorBidi"/>
      <w:i/>
      <w:iCs/>
      <w:noProof/>
      <w:color w:val="404040" w:themeColor="text1" w:themeTint="BF"/>
      <w14:numForm w14:val="default"/>
      <w14:numSpacing w14:val="default"/>
    </w:rPr>
  </w:style>
  <w:style w:type="paragraph" w:styleId="Heading9">
    <w:name w:val="heading 9"/>
    <w:basedOn w:val="Normal"/>
    <w:next w:val="Normal"/>
    <w:link w:val="Heading9Char"/>
    <w:semiHidden/>
    <w:unhideWhenUsed/>
    <w:qFormat/>
    <w:rsid w:val="00BA644F"/>
    <w:pPr>
      <w:keepNext/>
      <w:keepLines/>
      <w:spacing w:before="200"/>
      <w:outlineLvl w:val="8"/>
    </w:pPr>
    <w:rPr>
      <w:rFonts w:asciiTheme="majorHAnsi" w:eastAsiaTheme="majorEastAsia" w:hAnsiTheme="majorHAnsi" w:cstheme="majorBidi"/>
      <w:i/>
      <w:iCs/>
      <w:noProof/>
      <w:color w:val="404040" w:themeColor="text1" w:themeTint="BF"/>
      <w14:numForm w14:val="default"/>
      <w14:numSpacing w14:val="defaul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BA644F"/>
    <w:pPr>
      <w:suppressAutoHyphens/>
      <w:overflowPunct/>
      <w:spacing w:before="120"/>
      <w:ind w:firstLine="284"/>
      <w:jc w:val="both"/>
      <w:textAlignment w:val="auto"/>
    </w:pPr>
  </w:style>
  <w:style w:type="paragraph" w:customStyle="1" w:styleId="BulletText">
    <w:name w:val="Bullet Text"/>
    <w:basedOn w:val="Text"/>
    <w:qFormat/>
    <w:rsid w:val="00BA644F"/>
    <w:pPr>
      <w:ind w:left="425" w:hanging="425"/>
    </w:pPr>
  </w:style>
  <w:style w:type="paragraph" w:customStyle="1" w:styleId="Bullettextcont">
    <w:name w:val="Bullet text cont"/>
    <w:basedOn w:val="BulletText"/>
    <w:qFormat/>
    <w:rsid w:val="00BA644F"/>
    <w:pPr>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74F5A"/>
  </w:style>
  <w:style w:type="character" w:customStyle="1" w:styleId="CommentTextChar">
    <w:name w:val="Comment Text Char"/>
    <w:link w:val="CommentText"/>
    <w:rsid w:val="00B74F5A"/>
    <w:rPr>
      <w:rFonts w:eastAsia="PMingLiU"/>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B74F5A"/>
    <w:pPr>
      <w:tabs>
        <w:tab w:val="left" w:pos="284"/>
      </w:tabs>
      <w:ind w:left="284" w:hanging="284"/>
    </w:pPr>
    <w:rPr>
      <w:kern w:val="20"/>
      <w:sz w:val="18"/>
    </w:rPr>
  </w:style>
  <w:style w:type="character" w:customStyle="1" w:styleId="EndnoteTextChar">
    <w:name w:val="Endnote Text Char"/>
    <w:link w:val="EndnoteText"/>
    <w:rsid w:val="00B74F5A"/>
    <w:rPr>
      <w:kern w:val="20"/>
      <w:sz w:val="18"/>
      <w:lang w:val="en-US"/>
      <w14:numForm w14:val="oldStyle"/>
      <w14:numSpacing w14:val="proportional"/>
    </w:rPr>
  </w:style>
  <w:style w:type="paragraph" w:styleId="Footer">
    <w:name w:val="footer"/>
    <w:basedOn w:val="Normal"/>
    <w:link w:val="FooterChar"/>
    <w:rsid w:val="00B74F5A"/>
    <w:pPr>
      <w:tabs>
        <w:tab w:val="center" w:pos="4320"/>
        <w:tab w:val="right" w:pos="8640"/>
      </w:tabs>
      <w:spacing w:before="40"/>
    </w:pPr>
    <w:rPr>
      <w:rFonts w:ascii="Calibri" w:hAnsi="Calibri"/>
      <w:sz w:val="18"/>
    </w:rPr>
  </w:style>
  <w:style w:type="character" w:customStyle="1" w:styleId="FooterChar">
    <w:name w:val="Footer Char"/>
    <w:link w:val="Footer"/>
    <w:rsid w:val="00B74F5A"/>
    <w:rPr>
      <w:rFonts w:ascii="Calibri" w:eastAsia="PMingLiU" w:hAnsi="Calibri"/>
      <w:sz w:val="18"/>
      <w:szCs w:val="22"/>
      <w14:numForm w14:val="oldStyle"/>
      <w14:numSpacing w14:val="proportional"/>
    </w:rPr>
  </w:style>
  <w:style w:type="character" w:styleId="FootnoteReference">
    <w:name w:val="footnote reference"/>
    <w:rsid w:val="00B74F5A"/>
    <w:rPr>
      <w:rFonts w:cs="Times New Roman"/>
      <w:noProof w:val="0"/>
      <w:position w:val="2"/>
      <w:vertAlign w:val="superscript"/>
      <w:lang w:val="en-GB"/>
      <w14:numForm w14:val="oldStyle"/>
      <w14:numSpacing w14:val="proportional"/>
    </w:rPr>
  </w:style>
  <w:style w:type="paragraph" w:styleId="FootnoteText">
    <w:name w:val="footnote text"/>
    <w:basedOn w:val="Normal"/>
    <w:link w:val="FootnoteTextChar"/>
    <w:qFormat/>
    <w:rsid w:val="001D57C2"/>
    <w:pPr>
      <w:keepLines/>
      <w:ind w:left="284" w:hanging="284"/>
      <w:jc w:val="both"/>
    </w:pPr>
    <w:rPr>
      <w:iCs/>
      <w:kern w:val="20"/>
      <w:sz w:val="18"/>
      <w:szCs w:val="18"/>
    </w:rPr>
  </w:style>
  <w:style w:type="character" w:customStyle="1" w:styleId="FootnoteTextChar">
    <w:name w:val="Footnote Text Char"/>
    <w:link w:val="FootnoteText"/>
    <w:rsid w:val="001D57C2"/>
    <w:rPr>
      <w:rFonts w:eastAsia="Times New Roman"/>
      <w:iCs/>
      <w:kern w:val="20"/>
      <w:sz w:val="18"/>
      <w:szCs w:val="18"/>
      <w14:numForm w14:val="oldStyle"/>
      <w14:numSpacing w14:val="proportional"/>
    </w:rPr>
  </w:style>
  <w:style w:type="paragraph" w:styleId="Header">
    <w:name w:val="header"/>
    <w:basedOn w:val="Normal"/>
    <w:link w:val="HeaderChar"/>
    <w:rsid w:val="00B74F5A"/>
    <w:pPr>
      <w:tabs>
        <w:tab w:val="center" w:pos="4680"/>
        <w:tab w:val="right" w:pos="9360"/>
      </w:tabs>
      <w:spacing w:after="120"/>
    </w:pPr>
    <w:rPr>
      <w:sz w:val="18"/>
    </w:rPr>
  </w:style>
  <w:style w:type="character" w:customStyle="1" w:styleId="HeaderChar">
    <w:name w:val="Header Char"/>
    <w:basedOn w:val="DefaultParagraphFont"/>
    <w:link w:val="Header"/>
    <w:rsid w:val="00B74F5A"/>
    <w:rPr>
      <w:sz w:val="18"/>
      <w14:numForm w14:val="oldStyle"/>
      <w14:numSpacing w14:val="proportional"/>
    </w:rPr>
  </w:style>
  <w:style w:type="character" w:customStyle="1" w:styleId="Heading1Char">
    <w:name w:val="Heading 1 Char"/>
    <w:link w:val="Heading1"/>
    <w:rsid w:val="00BA644F"/>
    <w:rPr>
      <w:rFonts w:ascii="Cambria" w:hAnsi="Cambria" w:cs="Arial"/>
      <w:b/>
      <w:bCs/>
      <w:noProof/>
      <w:kern w:val="32"/>
      <w:sz w:val="24"/>
      <w:szCs w:val="24"/>
    </w:rPr>
  </w:style>
  <w:style w:type="character" w:customStyle="1" w:styleId="Heading2Char">
    <w:name w:val="Heading 2 Char"/>
    <w:basedOn w:val="DefaultParagraphFont"/>
    <w:link w:val="Heading2"/>
    <w:rsid w:val="00BA644F"/>
    <w:rPr>
      <w:rFonts w:ascii="Cambria" w:hAnsi="Cambria"/>
      <w:b/>
      <w:noProof/>
      <w:sz w:val="24"/>
      <w:szCs w:val="24"/>
    </w:rPr>
  </w:style>
  <w:style w:type="character" w:customStyle="1" w:styleId="Heading3Char">
    <w:name w:val="Heading 3 Char"/>
    <w:link w:val="Heading3"/>
    <w:rsid w:val="00BA644F"/>
    <w:rPr>
      <w:rFonts w:ascii="Cambria" w:hAnsi="Cambria" w:cs="Arial"/>
      <w:b/>
      <w:bCs/>
      <w:i/>
      <w:noProof/>
      <w:sz w:val="22"/>
    </w:rPr>
  </w:style>
  <w:style w:type="paragraph" w:customStyle="1" w:styleId="Hidden">
    <w:name w:val="Hidden"/>
    <w:basedOn w:val="Normal"/>
    <w:qFormat/>
    <w:rsid w:val="00BA644F"/>
    <w:rPr>
      <w:vanish/>
      <w:color w:val="FF0000"/>
    </w:rPr>
  </w:style>
  <w:style w:type="paragraph" w:customStyle="1" w:styleId="Myhead">
    <w:name w:val="Myhead"/>
    <w:basedOn w:val="Normal"/>
    <w:rsid w:val="00B74F5A"/>
    <w:pPr>
      <w:keepNext/>
      <w:keepLines/>
      <w:spacing w:before="120"/>
    </w:pPr>
    <w:rPr>
      <w:b/>
    </w:rPr>
  </w:style>
  <w:style w:type="paragraph" w:customStyle="1" w:styleId="Myheadc">
    <w:name w:val="Myheadc"/>
    <w:basedOn w:val="Normal"/>
    <w:rsid w:val="00B53F88"/>
    <w:pPr>
      <w:keepNext/>
      <w:keepLines/>
      <w:spacing w:before="120"/>
      <w:jc w:val="center"/>
    </w:pPr>
    <w:rPr>
      <w:rFonts w:cs="Cambria"/>
      <w:b/>
      <w:sz w:val="28"/>
      <w:lang w:eastAsia="en-GB"/>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117554"/>
    <w:pPr>
      <w:spacing w:before="120"/>
      <w:ind w:left="567"/>
      <w:jc w:val="both"/>
    </w:pPr>
    <w:rPr>
      <w:rFonts w:cstheme="minorBidi"/>
      <w:iCs/>
    </w:rPr>
  </w:style>
  <w:style w:type="character" w:customStyle="1" w:styleId="QuoteChar">
    <w:name w:val="Quote Char"/>
    <w:link w:val="Quote"/>
    <w:rsid w:val="00117554"/>
    <w:rPr>
      <w:rFonts w:ascii="Cambria" w:hAnsi="Cambria" w:cstheme="minorBidi"/>
      <w:iCs/>
      <w14:numForm w14:val="oldStyle"/>
      <w14:numSpacing w14:val="proportional"/>
    </w:rPr>
  </w:style>
  <w:style w:type="paragraph" w:customStyle="1" w:styleId="Quotects">
    <w:name w:val="Quotects"/>
    <w:basedOn w:val="Normal"/>
    <w:qFormat/>
    <w:rsid w:val="00392638"/>
    <w:pPr>
      <w:ind w:left="567"/>
    </w:p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B74F5A"/>
    <w:pPr>
      <w:tabs>
        <w:tab w:val="right" w:pos="7450"/>
      </w:tabs>
      <w:spacing w:before="60"/>
      <w:ind w:left="567" w:firstLine="0"/>
    </w:pPr>
    <w:rPr>
      <w:sz w:val="18"/>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abletext">
    <w:name w:val="Table text"/>
    <w:basedOn w:val="Normal"/>
    <w:rsid w:val="00B74F5A"/>
    <w:rPr>
      <w14:numSpacing w14:val="tabular"/>
    </w:rPr>
  </w:style>
  <w:style w:type="paragraph" w:customStyle="1" w:styleId="Textcts">
    <w:name w:val="Textcts"/>
    <w:basedOn w:val="Text"/>
    <w:qFormat/>
    <w:rsid w:val="00BA644F"/>
    <w:pPr>
      <w:spacing w:before="0"/>
      <w:ind w:firstLine="0"/>
    </w:pPr>
    <w:rPr>
      <w:kern w:val="20"/>
    </w:rPr>
  </w:style>
  <w:style w:type="paragraph" w:styleId="TOC1">
    <w:name w:val="toc 1"/>
    <w:basedOn w:val="Normal"/>
    <w:next w:val="Normal"/>
    <w:autoRedefine/>
    <w:uiPriority w:val="39"/>
    <w:unhideWhenUsed/>
    <w:rsid w:val="001845FC"/>
    <w:pPr>
      <w:widowControl/>
      <w:tabs>
        <w:tab w:val="right" w:pos="284"/>
        <w:tab w:val="left" w:pos="425"/>
        <w:tab w:val="right" w:leader="dot" w:pos="6203"/>
        <w:tab w:val="right" w:pos="6594"/>
      </w:tabs>
      <w:spacing w:before="120"/>
    </w:pPr>
    <w:rPr>
      <w14:numSpacing w14:val="tabular"/>
    </w:rPr>
  </w:style>
  <w:style w:type="paragraph" w:styleId="TOC2">
    <w:name w:val="toc 2"/>
    <w:basedOn w:val="Normal"/>
    <w:next w:val="Normal"/>
    <w:autoRedefine/>
    <w:uiPriority w:val="39"/>
    <w:unhideWhenUsed/>
    <w:rsid w:val="001845FC"/>
    <w:pPr>
      <w:widowControl/>
      <w:tabs>
        <w:tab w:val="right" w:pos="567"/>
        <w:tab w:val="left" w:pos="709"/>
        <w:tab w:val="right" w:leader="dot" w:pos="6203"/>
        <w:tab w:val="right" w:pos="6594"/>
      </w:tabs>
    </w:pPr>
    <w:rPr>
      <w14:numSpacing w14:val="tabular"/>
    </w:rPr>
  </w:style>
  <w:style w:type="paragraph" w:styleId="TOC3">
    <w:name w:val="toc 3"/>
    <w:basedOn w:val="Normal"/>
    <w:next w:val="Normal"/>
    <w:uiPriority w:val="39"/>
    <w:rsid w:val="00723AE0"/>
    <w:pPr>
      <w:pageBreakBefore/>
      <w:spacing w:line="14" w:lineRule="auto"/>
    </w:pPr>
    <w:rPr>
      <w:i/>
      <w:color w:val="FFFFFF" w:themeColor="background1"/>
      <w:sz w:val="12"/>
      <w14:numSpacing w14:val="tabular"/>
    </w:rPr>
  </w:style>
  <w:style w:type="paragraph" w:styleId="TOC4">
    <w:name w:val="toc 4"/>
    <w:basedOn w:val="Normal"/>
    <w:next w:val="Normal"/>
    <w:uiPriority w:val="39"/>
    <w:rsid w:val="00B74F5A"/>
    <w:pPr>
      <w:tabs>
        <w:tab w:val="right" w:leader="dot" w:pos="7474"/>
      </w:tabs>
      <w:ind w:left="1276"/>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customStyle="1" w:styleId="Economistheading">
    <w:name w:val="Economist heading"/>
    <w:basedOn w:val="Normal"/>
    <w:link w:val="EconomistheadingChar"/>
    <w:rsid w:val="00B74F5A"/>
    <w:pPr>
      <w:keepNext/>
      <w:spacing w:before="120"/>
      <w:jc w:val="center"/>
      <w:outlineLvl w:val="1"/>
    </w:pPr>
    <w:rPr>
      <w:b/>
      <w:bCs/>
      <w:color w:val="E3120B"/>
      <w:sz w:val="24"/>
      <w:szCs w:val="36"/>
    </w:rPr>
  </w:style>
  <w:style w:type="character" w:customStyle="1" w:styleId="EconomistheadingChar">
    <w:name w:val="Economist heading Char"/>
    <w:link w:val="Economistheading"/>
    <w:rsid w:val="00B74F5A"/>
    <w:rPr>
      <w:rFonts w:eastAsia="PMingLiU"/>
      <w:b/>
      <w:bCs/>
      <w:color w:val="E3120B"/>
      <w:sz w:val="24"/>
      <w:szCs w:val="36"/>
      <w14:numForm w14:val="oldStyle"/>
      <w14:numSpacing w14:val="proportional"/>
    </w:rPr>
  </w:style>
  <w:style w:type="paragraph" w:styleId="Caption">
    <w:name w:val="caption"/>
    <w:basedOn w:val="Normal"/>
    <w:next w:val="Normal"/>
    <w:unhideWhenUsed/>
    <w:qFormat/>
    <w:rsid w:val="00BA644F"/>
    <w:pPr>
      <w:spacing w:after="200"/>
    </w:pPr>
    <w:rPr>
      <w:b/>
      <w:bCs/>
      <w:color w:val="4F81BD" w:themeColor="accent1"/>
      <w:sz w:val="18"/>
      <w:szCs w:val="18"/>
    </w:rPr>
  </w:style>
  <w:style w:type="character" w:customStyle="1" w:styleId="Heading9Char">
    <w:name w:val="Heading 9 Char"/>
    <w:basedOn w:val="DefaultParagraphFont"/>
    <w:link w:val="Heading9"/>
    <w:semiHidden/>
    <w:rsid w:val="00BA644F"/>
    <w:rPr>
      <w:rFonts w:asciiTheme="majorHAnsi" w:eastAsiaTheme="majorEastAsia" w:hAnsiTheme="majorHAnsi" w:cstheme="majorBidi"/>
      <w:i/>
      <w:iCs/>
      <w:noProof/>
      <w:color w:val="404040" w:themeColor="text1" w:themeTint="BF"/>
    </w:rPr>
  </w:style>
  <w:style w:type="character" w:customStyle="1" w:styleId="Heading6Char">
    <w:name w:val="Heading 6 Char"/>
    <w:basedOn w:val="DefaultParagraphFont"/>
    <w:link w:val="Heading6"/>
    <w:semiHidden/>
    <w:rsid w:val="00BA644F"/>
    <w:rPr>
      <w:rFonts w:asciiTheme="majorHAnsi" w:eastAsiaTheme="majorEastAsia" w:hAnsiTheme="majorHAnsi" w:cstheme="majorBidi"/>
      <w:i/>
      <w:iCs/>
      <w:noProof/>
      <w:color w:val="243F60" w:themeColor="accent1" w:themeShade="7F"/>
    </w:rPr>
  </w:style>
  <w:style w:type="character" w:customStyle="1" w:styleId="Heading5Char">
    <w:name w:val="Heading 5 Char"/>
    <w:basedOn w:val="DefaultParagraphFont"/>
    <w:link w:val="Heading5"/>
    <w:semiHidden/>
    <w:rsid w:val="00BA644F"/>
    <w:rPr>
      <w:rFonts w:asciiTheme="majorHAnsi" w:eastAsiaTheme="majorEastAsia" w:hAnsiTheme="majorHAnsi" w:cstheme="majorBidi"/>
      <w:noProof/>
      <w:color w:val="243F60" w:themeColor="accent1" w:themeShade="7F"/>
    </w:rPr>
  </w:style>
  <w:style w:type="character" w:customStyle="1" w:styleId="Heading7Char">
    <w:name w:val="Heading 7 Char"/>
    <w:basedOn w:val="DefaultParagraphFont"/>
    <w:link w:val="Heading7"/>
    <w:semiHidden/>
    <w:rsid w:val="00BA644F"/>
    <w:rPr>
      <w:rFonts w:asciiTheme="majorHAnsi" w:eastAsiaTheme="majorEastAsia" w:hAnsiTheme="majorHAnsi" w:cstheme="majorBidi"/>
      <w:i/>
      <w:iCs/>
      <w:noProof/>
      <w:color w:val="404040" w:themeColor="text1" w:themeTint="BF"/>
    </w:rPr>
  </w:style>
  <w:style w:type="paragraph" w:customStyle="1" w:styleId="Bullet2">
    <w:name w:val="Bullet2"/>
    <w:basedOn w:val="BulletText"/>
    <w:link w:val="Bullet2Char"/>
    <w:qFormat/>
    <w:rsid w:val="00BA644F"/>
    <w:pPr>
      <w:ind w:left="709"/>
    </w:pPr>
    <w:rPr>
      <w14:numSpacing w14:val="default"/>
    </w:rPr>
  </w:style>
  <w:style w:type="character" w:customStyle="1" w:styleId="Bullet2Char">
    <w:name w:val="Bullet2 Char"/>
    <w:basedOn w:val="DefaultParagraphFont"/>
    <w:link w:val="Bullet2"/>
    <w:rsid w:val="00BA644F"/>
    <w:rPr>
      <w:rFonts w:ascii="Cambria" w:hAnsi="Cambria"/>
      <w14:numForm w14:val="oldStyle"/>
    </w:rPr>
  </w:style>
  <w:style w:type="paragraph" w:customStyle="1" w:styleId="Bullet2ct">
    <w:name w:val="Bullet2 ct"/>
    <w:basedOn w:val="BulletText"/>
    <w:link w:val="Bullet2ctChar"/>
    <w:qFormat/>
    <w:rsid w:val="00BA644F"/>
    <w:pPr>
      <w:spacing w:before="0"/>
      <w:ind w:left="709"/>
    </w:pPr>
    <w:rPr>
      <w14:numSpacing w14:val="default"/>
    </w:rPr>
  </w:style>
  <w:style w:type="character" w:customStyle="1" w:styleId="Bullet2ctChar">
    <w:name w:val="Bullet2 ct Char"/>
    <w:basedOn w:val="DefaultParagraphFont"/>
    <w:link w:val="Bullet2ct"/>
    <w:rsid w:val="00BA644F"/>
    <w:rPr>
      <w:rFonts w:ascii="Cambria" w:hAnsi="Cambria"/>
      <w14:numForm w14:val="oldStyle"/>
    </w:rPr>
  </w:style>
  <w:style w:type="paragraph" w:customStyle="1" w:styleId="Translit">
    <w:name w:val="Translit"/>
    <w:basedOn w:val="Normal"/>
    <w:link w:val="TranslitChar"/>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rsid w:val="00B74F5A"/>
    <w:pPr>
      <w:keepNext/>
      <w:spacing w:before="120"/>
      <w:ind w:left="1418" w:hanging="567"/>
    </w:pPr>
    <w:rPr>
      <w:i/>
    </w:rPr>
  </w:style>
  <w:style w:type="paragraph" w:customStyle="1" w:styleId="Poetrycts">
    <w:name w:val="Poetrycts"/>
    <w:basedOn w:val="Poetry"/>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b/>
      <w:bCs/>
      <w:kern w:val="20"/>
      <w:sz w:val="18"/>
      <w:lang w:val="en-US"/>
      <w14:numForm w14:val="oldStyle"/>
      <w14:numSpacing w14:val="proportional"/>
    </w:rPr>
  </w:style>
  <w:style w:type="paragraph" w:customStyle="1" w:styleId="Textleftn">
    <w:name w:val="Text_leftn"/>
    <w:basedOn w:val="Normal"/>
    <w:link w:val="TextleftnChar"/>
    <w:rsid w:val="004B3F78"/>
    <w:pPr>
      <w:tabs>
        <w:tab w:val="left" w:pos="284"/>
      </w:tabs>
      <w:spacing w:before="120"/>
      <w:ind w:hanging="284"/>
      <w:jc w:val="both"/>
    </w:pPr>
  </w:style>
  <w:style w:type="character" w:customStyle="1" w:styleId="TextleftnChar">
    <w:name w:val="Text_leftn Char"/>
    <w:basedOn w:val="DefaultParagraphFont"/>
    <w:link w:val="Textleftn"/>
    <w:rsid w:val="004B3F78"/>
    <w:rPr>
      <w:rFonts w:eastAsia="PMingLiU"/>
      <w:szCs w:val="22"/>
      <w14:numForm w14:val="oldStyle"/>
      <w14:numSpacing w14:val="proportional"/>
    </w:rPr>
  </w:style>
  <w:style w:type="paragraph" w:customStyle="1" w:styleId="Textrightn">
    <w:name w:val="Text_rightn"/>
    <w:basedOn w:val="Textleftn"/>
    <w:link w:val="TextrightnChar"/>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14:numForm w14:val="oldStyle"/>
      <w14:numSpacing w14:val="proportional"/>
    </w:rPr>
  </w:style>
  <w:style w:type="character" w:customStyle="1" w:styleId="TextChar">
    <w:name w:val="Text Char"/>
    <w:basedOn w:val="DefaultParagraphFont"/>
    <w:link w:val="Text"/>
    <w:rsid w:val="00B74F5A"/>
    <w:rPr>
      <w:rFonts w:ascii="Cambria" w:hAnsi="Cambria"/>
      <w14:numForm w14:val="oldStyle"/>
      <w14:numSpacing w14:val="proportional"/>
    </w:rPr>
  </w:style>
  <w:style w:type="paragraph" w:customStyle="1" w:styleId="Rodwell">
    <w:name w:val="Rodwell"/>
    <w:basedOn w:val="Normal"/>
    <w:link w:val="RodwellChar"/>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B74F5A"/>
    <w:pPr>
      <w:spacing w:before="120"/>
      <w:jc w:val="both"/>
    </w:pPr>
    <w:rPr>
      <w:b/>
      <w:i/>
      <w:color w:val="000000" w:themeColor="text1"/>
      <w:lang w:eastAsia="en-GB"/>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B74F5A"/>
    <w:pPr>
      <w:tabs>
        <w:tab w:val="left" w:pos="284"/>
        <w:tab w:val="left" w:pos="567"/>
      </w:tabs>
      <w:ind w:left="284" w:hanging="284"/>
      <w:jc w:val="both"/>
    </w:pPr>
    <w:rPr>
      <w:sz w:val="18"/>
    </w:rPr>
  </w:style>
  <w:style w:type="paragraph" w:styleId="BodyText">
    <w:name w:val="Body Text"/>
    <w:basedOn w:val="Normal"/>
    <w:link w:val="BodyTextChar"/>
    <w:uiPriority w:val="1"/>
    <w:rsid w:val="00022AA6"/>
    <w:pPr>
      <w:jc w:val="both"/>
    </w:pPr>
  </w:style>
  <w:style w:type="character" w:customStyle="1" w:styleId="BodyTextChar">
    <w:name w:val="Body Text Char"/>
    <w:basedOn w:val="DefaultParagraphFont"/>
    <w:link w:val="BodyText"/>
    <w:uiPriority w:val="1"/>
    <w:rsid w:val="00022AA6"/>
    <w:rPr>
      <w:rFonts w:ascii="Times New Roman" w:eastAsia="Times New Roman" w:hAnsi="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library/authoritative-texts/the-universal-house-of-justic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ranicaonline.org/articles/health-in-persia-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6196</Words>
  <Characters>35323</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2022-06-27T08:48:00Z</dcterms:created>
  <dcterms:modified xsi:type="dcterms:W3CDTF">2022-06-29T23:47:00Z</dcterms:modified>
</cp:coreProperties>
</file>