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D2F88" w14:textId="47920FEE" w:rsidR="00E55DA6" w:rsidRPr="00E55DA6" w:rsidRDefault="00E55DA6" w:rsidP="00E55DA6">
      <w:pPr>
        <w:pStyle w:val="Myheadc"/>
        <w:rPr>
          <w:sz w:val="20"/>
        </w:rPr>
      </w:pPr>
      <w:r w:rsidRPr="00E55DA6">
        <w:t xml:space="preserve">A new and effective way of studying </w:t>
      </w:r>
      <w:r w:rsidRPr="00E55DA6">
        <w:rPr>
          <w:i/>
          <w:iCs/>
        </w:rPr>
        <w:t>The Kitáb-i-</w:t>
      </w:r>
      <w:proofErr w:type="spellStart"/>
      <w:r w:rsidRPr="00E55DA6">
        <w:rPr>
          <w:i/>
          <w:iCs/>
        </w:rPr>
        <w:t>Íqán</w:t>
      </w:r>
      <w:proofErr w:type="spellEnd"/>
      <w:r w:rsidR="00D6611B">
        <w:rPr>
          <w:i/>
          <w:iCs/>
        </w:rPr>
        <w:t xml:space="preserve"> </w:t>
      </w:r>
      <w:r w:rsidR="00D6611B" w:rsidRPr="004C4CB9">
        <w:rPr>
          <w:rStyle w:val="FootnoteReference"/>
          <w:b w:val="0"/>
        </w:rPr>
        <w:footnoteReference w:id="1"/>
      </w:r>
    </w:p>
    <w:p w14:paraId="74355E21" w14:textId="77777777" w:rsidR="00E55DA6" w:rsidRPr="00E55DA6" w:rsidRDefault="00E55DA6" w:rsidP="00E55DA6">
      <w:pPr>
        <w:jc w:val="center"/>
        <w:rPr>
          <w:rFonts w:hint="eastAsia"/>
          <w:szCs w:val="20"/>
          <w:lang w:eastAsia="en-US"/>
        </w:rPr>
      </w:pPr>
      <w:r w:rsidRPr="00E55DA6">
        <w:rPr>
          <w:szCs w:val="20"/>
          <w:lang w:eastAsia="en-US"/>
        </w:rPr>
        <w:t>Prepared by Margery McCormick</w:t>
      </w:r>
      <w:r w:rsidR="00B45AA5">
        <w:rPr>
          <w:szCs w:val="20"/>
          <w:lang w:eastAsia="en-US"/>
        </w:rPr>
        <w:t>,</w:t>
      </w:r>
      <w:r w:rsidRPr="00E55DA6">
        <w:rPr>
          <w:szCs w:val="20"/>
          <w:lang w:eastAsia="en-US"/>
        </w:rPr>
        <w:t xml:space="preserve"> </w:t>
      </w:r>
      <w:proofErr w:type="spellStart"/>
      <w:r w:rsidRPr="00E55DA6">
        <w:rPr>
          <w:szCs w:val="20"/>
          <w:lang w:eastAsia="en-US"/>
        </w:rPr>
        <w:t>Geyservil</w:t>
      </w:r>
      <w:r>
        <w:rPr>
          <w:szCs w:val="20"/>
          <w:lang w:eastAsia="en-US"/>
        </w:rPr>
        <w:t>l</w:t>
      </w:r>
      <w:r w:rsidRPr="00E55DA6">
        <w:rPr>
          <w:szCs w:val="20"/>
          <w:lang w:eastAsia="en-US"/>
        </w:rPr>
        <w:t>e</w:t>
      </w:r>
      <w:proofErr w:type="spellEnd"/>
      <w:r w:rsidRPr="00E55DA6">
        <w:rPr>
          <w:szCs w:val="20"/>
          <w:lang w:eastAsia="en-US"/>
        </w:rPr>
        <w:t xml:space="preserve"> Bahá</w:t>
      </w:r>
      <w:r>
        <w:rPr>
          <w:szCs w:val="20"/>
          <w:lang w:eastAsia="en-US"/>
        </w:rPr>
        <w:t>’</w:t>
      </w:r>
      <w:r w:rsidRPr="00E55DA6">
        <w:rPr>
          <w:szCs w:val="20"/>
          <w:lang w:eastAsia="en-US"/>
        </w:rPr>
        <w:t>í School</w:t>
      </w:r>
      <w:r w:rsidR="00B45AA5">
        <w:rPr>
          <w:szCs w:val="20"/>
          <w:lang w:eastAsia="en-US"/>
        </w:rPr>
        <w:t>,</w:t>
      </w:r>
      <w:r w:rsidRPr="00E55DA6">
        <w:rPr>
          <w:szCs w:val="20"/>
          <w:lang w:eastAsia="en-US"/>
        </w:rPr>
        <w:t xml:space="preserve"> July 1958</w:t>
      </w:r>
    </w:p>
    <w:p w14:paraId="3E68FD24" w14:textId="77777777" w:rsidR="00E55DA6" w:rsidRPr="00E55DA6" w:rsidRDefault="00E55DA6" w:rsidP="00E55DA6">
      <w:pPr>
        <w:pStyle w:val="Text"/>
        <w:rPr>
          <w:lang w:eastAsia="en-US"/>
        </w:rPr>
      </w:pPr>
      <w:r w:rsidRPr="00E55DA6">
        <w:rPr>
          <w:lang w:eastAsia="en-US"/>
        </w:rPr>
        <w:t>A description of how the Kitáb-i-Íqán was written and a summary of its contents</w:t>
      </w:r>
      <w:r>
        <w:rPr>
          <w:lang w:eastAsia="en-US"/>
        </w:rPr>
        <w:t xml:space="preserve"> </w:t>
      </w:r>
      <w:r w:rsidRPr="00E55DA6">
        <w:rPr>
          <w:lang w:eastAsia="en-US"/>
        </w:rPr>
        <w:t xml:space="preserve">is found on page 189 of </w:t>
      </w:r>
      <w:r w:rsidRPr="00E55DA6">
        <w:rPr>
          <w:i/>
          <w:iCs/>
          <w:lang w:eastAsia="en-US"/>
        </w:rPr>
        <w:t>God Passes By</w:t>
      </w:r>
      <w:r w:rsidRPr="00E55DA6">
        <w:rPr>
          <w:lang w:eastAsia="en-US"/>
        </w:rPr>
        <w:t xml:space="preserve">. </w:t>
      </w:r>
      <w:r>
        <w:rPr>
          <w:lang w:eastAsia="en-US"/>
        </w:rPr>
        <w:t xml:space="preserve"> </w:t>
      </w:r>
      <w:r w:rsidRPr="00E55DA6">
        <w:rPr>
          <w:lang w:eastAsia="en-US"/>
        </w:rPr>
        <w:t>There are 20 subjects listed by the Guardian.</w:t>
      </w:r>
    </w:p>
    <w:p w14:paraId="5CC4304F" w14:textId="77777777" w:rsidR="00E55DA6" w:rsidRPr="00E55DA6" w:rsidRDefault="00E55DA6" w:rsidP="00E55DA6">
      <w:pPr>
        <w:pStyle w:val="Text"/>
        <w:rPr>
          <w:lang w:eastAsia="en-US"/>
        </w:rPr>
      </w:pPr>
      <w:r w:rsidRPr="00E55DA6">
        <w:rPr>
          <w:lang w:eastAsia="en-US"/>
        </w:rPr>
        <w:t>Write the numbers 1 to 20 and opposite each list the subjects enumerated.</w:t>
      </w:r>
    </w:p>
    <w:p w14:paraId="6D7E258E" w14:textId="77777777" w:rsidR="00E55DA6" w:rsidRPr="00E55DA6" w:rsidRDefault="00E55DA6" w:rsidP="00E55DA6">
      <w:pPr>
        <w:pStyle w:val="Text"/>
        <w:rPr>
          <w:lang w:eastAsia="en-US"/>
        </w:rPr>
      </w:pPr>
      <w:r w:rsidRPr="00E55DA6">
        <w:rPr>
          <w:lang w:eastAsia="en-US"/>
        </w:rPr>
        <w:t xml:space="preserve">Read the text and whenever you discover one of the subjects listed, [note] its page opposite the numbered index. </w:t>
      </w:r>
      <w:r>
        <w:rPr>
          <w:lang w:eastAsia="en-US"/>
        </w:rPr>
        <w:t xml:space="preserve"> </w:t>
      </w:r>
      <w:r w:rsidRPr="00E55DA6">
        <w:rPr>
          <w:lang w:eastAsia="en-US"/>
        </w:rPr>
        <w:t>Most of the subjects are referred to many times and in many sections of the book.</w:t>
      </w:r>
      <w:r>
        <w:rPr>
          <w:lang w:eastAsia="en-US"/>
        </w:rPr>
        <w:t xml:space="preserve"> </w:t>
      </w:r>
      <w:r w:rsidRPr="00E55DA6">
        <w:rPr>
          <w:lang w:eastAsia="en-US"/>
        </w:rPr>
        <w:t xml:space="preserve"> The subjects mentioned are as follows:</w:t>
      </w:r>
    </w:p>
    <w:p w14:paraId="1B73B724" w14:textId="77777777" w:rsidR="00E55DA6" w:rsidRPr="00E55DA6" w:rsidRDefault="00E55DA6" w:rsidP="00E55DA6">
      <w:pPr>
        <w:pStyle w:val="BulletText"/>
        <w:rPr>
          <w:lang w:eastAsia="en-US"/>
        </w:rPr>
      </w:pPr>
      <w:r w:rsidRPr="00E55DA6">
        <w:rPr>
          <w:lang w:eastAsia="en-US"/>
        </w:rPr>
        <w:t>l.</w:t>
      </w:r>
      <w:r w:rsidRPr="00E55DA6">
        <w:rPr>
          <w:lang w:eastAsia="en-US"/>
        </w:rPr>
        <w:tab/>
        <w:t>Existence and oneness of a personal God.</w:t>
      </w:r>
    </w:p>
    <w:p w14:paraId="4145B1FA" w14:textId="77777777" w:rsidR="00E55DA6" w:rsidRPr="00E55DA6" w:rsidRDefault="00E55DA6" w:rsidP="00E55DA6">
      <w:pPr>
        <w:pStyle w:val="Bullettextcont"/>
        <w:rPr>
          <w:lang w:eastAsia="en-US"/>
        </w:rPr>
      </w:pPr>
      <w:r w:rsidRPr="00E55DA6">
        <w:rPr>
          <w:lang w:eastAsia="en-US"/>
        </w:rPr>
        <w:t>2.</w:t>
      </w:r>
      <w:r>
        <w:rPr>
          <w:lang w:eastAsia="en-US"/>
        </w:rPr>
        <w:tab/>
      </w:r>
      <w:r w:rsidRPr="00E55DA6">
        <w:rPr>
          <w:lang w:eastAsia="en-US"/>
        </w:rPr>
        <w:t>The relativity of re1igious truth</w:t>
      </w:r>
      <w:r>
        <w:rPr>
          <w:lang w:eastAsia="en-US"/>
        </w:rPr>
        <w:t>—</w:t>
      </w:r>
      <w:r w:rsidRPr="00E55DA6">
        <w:rPr>
          <w:lang w:eastAsia="en-US"/>
        </w:rPr>
        <w:t>continuity of</w:t>
      </w:r>
      <w:r>
        <w:rPr>
          <w:lang w:eastAsia="en-US"/>
        </w:rPr>
        <w:t xml:space="preserve"> </w:t>
      </w:r>
      <w:r w:rsidRPr="00E55DA6">
        <w:rPr>
          <w:lang w:eastAsia="en-US"/>
        </w:rPr>
        <w:t>Divine Revelation.</w:t>
      </w:r>
    </w:p>
    <w:p w14:paraId="29C98BC1" w14:textId="77777777" w:rsidR="00E55DA6" w:rsidRPr="00E55DA6" w:rsidRDefault="00E55DA6" w:rsidP="00E55DA6">
      <w:pPr>
        <w:pStyle w:val="Bullettextcont"/>
        <w:rPr>
          <w:lang w:eastAsia="en-US"/>
        </w:rPr>
      </w:pPr>
      <w:r w:rsidRPr="00E55DA6">
        <w:rPr>
          <w:lang w:eastAsia="en-US"/>
        </w:rPr>
        <w:t>3.</w:t>
      </w:r>
      <w:r>
        <w:rPr>
          <w:lang w:eastAsia="en-US"/>
        </w:rPr>
        <w:tab/>
      </w:r>
      <w:r w:rsidRPr="00E55DA6">
        <w:rPr>
          <w:lang w:eastAsia="en-US"/>
        </w:rPr>
        <w:t>The unity of the Prophets and universality of their</w:t>
      </w:r>
      <w:r>
        <w:rPr>
          <w:lang w:eastAsia="en-US"/>
        </w:rPr>
        <w:t xml:space="preserve"> </w:t>
      </w:r>
      <w:r w:rsidRPr="00E55DA6">
        <w:rPr>
          <w:lang w:eastAsia="en-US"/>
        </w:rPr>
        <w:t>message.</w:t>
      </w:r>
    </w:p>
    <w:p w14:paraId="34032CFA" w14:textId="77777777" w:rsidR="00E55DA6" w:rsidRPr="00E55DA6" w:rsidRDefault="00E55DA6" w:rsidP="00E55DA6">
      <w:pPr>
        <w:pStyle w:val="Bullettextcont"/>
        <w:rPr>
          <w:lang w:eastAsia="en-US"/>
        </w:rPr>
      </w:pPr>
      <w:r w:rsidRPr="00E55DA6">
        <w:rPr>
          <w:lang w:eastAsia="en-US"/>
        </w:rPr>
        <w:t>4.</w:t>
      </w:r>
      <w:r>
        <w:rPr>
          <w:lang w:eastAsia="en-US"/>
        </w:rPr>
        <w:tab/>
      </w:r>
      <w:r w:rsidRPr="00E55DA6">
        <w:rPr>
          <w:lang w:eastAsia="en-US"/>
        </w:rPr>
        <w:t>Identity of their fundamental teachings and the sanctity</w:t>
      </w:r>
      <w:r>
        <w:rPr>
          <w:lang w:eastAsia="en-US"/>
        </w:rPr>
        <w:t xml:space="preserve"> </w:t>
      </w:r>
      <w:r w:rsidRPr="00E55DA6">
        <w:rPr>
          <w:lang w:eastAsia="en-US"/>
        </w:rPr>
        <w:t>of their Scriptures.</w:t>
      </w:r>
    </w:p>
    <w:p w14:paraId="78E13FB2" w14:textId="77777777" w:rsidR="00E55DA6" w:rsidRPr="00E55DA6" w:rsidRDefault="00E55DA6" w:rsidP="00E55DA6">
      <w:pPr>
        <w:pStyle w:val="Bullettextcont"/>
        <w:rPr>
          <w:lang w:eastAsia="en-US"/>
        </w:rPr>
      </w:pPr>
      <w:r w:rsidRPr="00E55DA6">
        <w:rPr>
          <w:lang w:eastAsia="en-US"/>
        </w:rPr>
        <w:t>5.</w:t>
      </w:r>
      <w:r>
        <w:rPr>
          <w:lang w:eastAsia="en-US"/>
        </w:rPr>
        <w:tab/>
      </w:r>
      <w:r w:rsidRPr="00E55DA6">
        <w:rPr>
          <w:lang w:eastAsia="en-US"/>
        </w:rPr>
        <w:t>Two-fold character of their Stations.</w:t>
      </w:r>
    </w:p>
    <w:p w14:paraId="74557770" w14:textId="77777777" w:rsidR="00E55DA6" w:rsidRPr="00E55DA6" w:rsidRDefault="00E55DA6" w:rsidP="00E55DA6">
      <w:pPr>
        <w:pStyle w:val="Bullettextcont"/>
        <w:rPr>
          <w:lang w:eastAsia="en-US"/>
        </w:rPr>
      </w:pPr>
      <w:r w:rsidRPr="00E55DA6">
        <w:rPr>
          <w:lang w:eastAsia="en-US"/>
        </w:rPr>
        <w:t>6.</w:t>
      </w:r>
      <w:r>
        <w:rPr>
          <w:lang w:eastAsia="en-US"/>
        </w:rPr>
        <w:tab/>
      </w:r>
      <w:r w:rsidRPr="00E55DA6">
        <w:rPr>
          <w:lang w:eastAsia="en-US"/>
        </w:rPr>
        <w:t>Perversity of the divines.</w:t>
      </w:r>
    </w:p>
    <w:p w14:paraId="0DD3F38F" w14:textId="77777777" w:rsidR="00E55DA6" w:rsidRDefault="00E55DA6" w:rsidP="00E55DA6">
      <w:pPr>
        <w:pStyle w:val="Bullettextcont"/>
        <w:rPr>
          <w:lang w:eastAsia="en-US"/>
        </w:rPr>
      </w:pPr>
      <w:r w:rsidRPr="00E55DA6">
        <w:rPr>
          <w:lang w:eastAsia="en-US"/>
        </w:rPr>
        <w:t>7.</w:t>
      </w:r>
      <w:r>
        <w:rPr>
          <w:lang w:eastAsia="en-US"/>
        </w:rPr>
        <w:tab/>
      </w:r>
      <w:r w:rsidRPr="00E55DA6">
        <w:rPr>
          <w:lang w:eastAsia="en-US"/>
        </w:rPr>
        <w:t>Allegorical passages [of the] New Testament and [the] Qur</w:t>
      </w:r>
      <w:r>
        <w:rPr>
          <w:lang w:eastAsia="en-US"/>
        </w:rPr>
        <w:t>’</w:t>
      </w:r>
      <w:r w:rsidRPr="00E55DA6">
        <w:t>á</w:t>
      </w:r>
      <w:r w:rsidRPr="00E55DA6">
        <w:rPr>
          <w:lang w:eastAsia="en-US"/>
        </w:rPr>
        <w:t>n.</w:t>
      </w:r>
    </w:p>
    <w:p w14:paraId="17336FC5" w14:textId="77777777" w:rsidR="00E55DA6" w:rsidRPr="00E55DA6" w:rsidRDefault="00E55DA6" w:rsidP="00E55DA6">
      <w:pPr>
        <w:pStyle w:val="Bullettextcont"/>
        <w:rPr>
          <w:lang w:eastAsia="en-US"/>
        </w:rPr>
      </w:pPr>
      <w:r w:rsidRPr="00E55DA6">
        <w:rPr>
          <w:lang w:eastAsia="en-US"/>
        </w:rPr>
        <w:t>8.</w:t>
      </w:r>
      <w:r>
        <w:rPr>
          <w:lang w:eastAsia="en-US"/>
        </w:rPr>
        <w:tab/>
      </w:r>
      <w:r w:rsidRPr="00E55DA6">
        <w:rPr>
          <w:lang w:eastAsia="en-US"/>
        </w:rPr>
        <w:t>Essential prerequisites of the True Seeker.</w:t>
      </w:r>
    </w:p>
    <w:p w14:paraId="2B53A299" w14:textId="77777777" w:rsidR="00E55DA6" w:rsidRPr="00E55DA6" w:rsidRDefault="00E55DA6" w:rsidP="00E55DA6">
      <w:pPr>
        <w:pStyle w:val="Bullettextcont"/>
        <w:rPr>
          <w:lang w:eastAsia="en-US"/>
        </w:rPr>
      </w:pPr>
      <w:r w:rsidRPr="00E55DA6">
        <w:rPr>
          <w:lang w:eastAsia="en-US"/>
        </w:rPr>
        <w:t>9.</w:t>
      </w:r>
      <w:r>
        <w:rPr>
          <w:lang w:eastAsia="en-US"/>
        </w:rPr>
        <w:tab/>
      </w:r>
      <w:r w:rsidRPr="00E55DA6">
        <w:rPr>
          <w:lang w:eastAsia="en-US"/>
        </w:rPr>
        <w:t>Heroism of B</w:t>
      </w:r>
      <w:r w:rsidRPr="00E55DA6">
        <w:t>á</w:t>
      </w:r>
      <w:r w:rsidRPr="00E55DA6">
        <w:rPr>
          <w:lang w:eastAsia="en-US"/>
        </w:rPr>
        <w:t>b</w:t>
      </w:r>
      <w:r>
        <w:rPr>
          <w:lang w:eastAsia="en-US"/>
        </w:rPr>
        <w:t>’</w:t>
      </w:r>
      <w:r w:rsidRPr="00E55DA6">
        <w:rPr>
          <w:lang w:eastAsia="en-US"/>
        </w:rPr>
        <w:t>s disciples.</w:t>
      </w:r>
    </w:p>
    <w:p w14:paraId="42918CBE" w14:textId="77777777" w:rsidR="00E55DA6" w:rsidRPr="00E55DA6" w:rsidRDefault="00E55DA6" w:rsidP="00E55DA6">
      <w:pPr>
        <w:pStyle w:val="Bullettextcont"/>
        <w:rPr>
          <w:lang w:eastAsia="en-US"/>
        </w:rPr>
      </w:pPr>
      <w:r w:rsidRPr="00E55DA6">
        <w:rPr>
          <w:lang w:eastAsia="en-US"/>
        </w:rPr>
        <w:t>10.</w:t>
      </w:r>
      <w:r w:rsidRPr="00E55DA6">
        <w:rPr>
          <w:lang w:eastAsia="en-US"/>
        </w:rPr>
        <w:tab/>
        <w:t>Validity and significance of the B</w:t>
      </w:r>
      <w:r w:rsidRPr="00E55DA6">
        <w:t>á</w:t>
      </w:r>
      <w:r w:rsidRPr="00E55DA6">
        <w:rPr>
          <w:lang w:eastAsia="en-US"/>
        </w:rPr>
        <w:t>b</w:t>
      </w:r>
      <w:r>
        <w:rPr>
          <w:lang w:eastAsia="en-US"/>
        </w:rPr>
        <w:t>’</w:t>
      </w:r>
      <w:r w:rsidRPr="00E55DA6">
        <w:rPr>
          <w:lang w:eastAsia="en-US"/>
        </w:rPr>
        <w:t>s Revelation.</w:t>
      </w:r>
    </w:p>
    <w:p w14:paraId="64D12199" w14:textId="77777777" w:rsidR="00E55DA6" w:rsidRPr="00E55DA6" w:rsidRDefault="00E55DA6" w:rsidP="00E55DA6">
      <w:pPr>
        <w:pStyle w:val="Bullettextcont"/>
        <w:rPr>
          <w:lang w:eastAsia="en-US"/>
        </w:rPr>
      </w:pPr>
      <w:r w:rsidRPr="00E55DA6">
        <w:rPr>
          <w:lang w:eastAsia="en-US"/>
        </w:rPr>
        <w:t>11.</w:t>
      </w:r>
      <w:r w:rsidRPr="00E55DA6">
        <w:rPr>
          <w:lang w:eastAsia="en-US"/>
        </w:rPr>
        <w:tab/>
        <w:t>Triumph of B</w:t>
      </w:r>
      <w:r w:rsidRPr="00E55DA6">
        <w:t>á</w:t>
      </w:r>
      <w:r w:rsidRPr="00E55DA6">
        <w:rPr>
          <w:lang w:eastAsia="en-US"/>
        </w:rPr>
        <w:t>b</w:t>
      </w:r>
      <w:r w:rsidRPr="00E55DA6">
        <w:t>í</w:t>
      </w:r>
      <w:r w:rsidRPr="00E55DA6">
        <w:rPr>
          <w:lang w:eastAsia="en-US"/>
        </w:rPr>
        <w:t xml:space="preserve"> Revelation to [the] people of [the] Bay</w:t>
      </w:r>
      <w:r w:rsidRPr="00E55DA6">
        <w:t>á</w:t>
      </w:r>
      <w:r w:rsidRPr="00E55DA6">
        <w:rPr>
          <w:lang w:eastAsia="en-US"/>
        </w:rPr>
        <w:t>n.</w:t>
      </w:r>
    </w:p>
    <w:p w14:paraId="4602DCD9" w14:textId="77777777" w:rsidR="00E55DA6" w:rsidRPr="00E55DA6" w:rsidRDefault="00E55DA6" w:rsidP="00E55DA6">
      <w:pPr>
        <w:pStyle w:val="Bullettextcont"/>
        <w:rPr>
          <w:lang w:eastAsia="en-US"/>
        </w:rPr>
      </w:pPr>
      <w:r w:rsidRPr="00E55DA6">
        <w:rPr>
          <w:lang w:eastAsia="en-US"/>
        </w:rPr>
        <w:t>12.</w:t>
      </w:r>
      <w:r w:rsidRPr="00E55DA6">
        <w:rPr>
          <w:lang w:eastAsia="en-US"/>
        </w:rPr>
        <w:tab/>
        <w:t>Purity of [the] Virgin Mary.</w:t>
      </w:r>
    </w:p>
    <w:p w14:paraId="76DF4ABE" w14:textId="77777777" w:rsidR="00E55DA6" w:rsidRPr="00E55DA6" w:rsidRDefault="00E55DA6" w:rsidP="00E55DA6">
      <w:pPr>
        <w:pStyle w:val="Bullettextcont"/>
        <w:rPr>
          <w:lang w:eastAsia="en-US"/>
        </w:rPr>
      </w:pPr>
      <w:r w:rsidRPr="00E55DA6">
        <w:rPr>
          <w:lang w:eastAsia="en-US"/>
        </w:rPr>
        <w:t>13.</w:t>
      </w:r>
      <w:r>
        <w:rPr>
          <w:lang w:eastAsia="en-US"/>
        </w:rPr>
        <w:tab/>
      </w:r>
      <w:r w:rsidRPr="00E55DA6">
        <w:rPr>
          <w:lang w:eastAsia="en-US"/>
        </w:rPr>
        <w:t>Glorifies Imams of [the] faith of Mu</w:t>
      </w:r>
      <w:r w:rsidRPr="00E55DA6">
        <w:t>ḥ</w:t>
      </w:r>
      <w:r w:rsidRPr="00E55DA6">
        <w:rPr>
          <w:lang w:eastAsia="en-US"/>
        </w:rPr>
        <w:t>ammad.</w:t>
      </w:r>
    </w:p>
    <w:p w14:paraId="6F435A06" w14:textId="77777777" w:rsidR="00E55DA6" w:rsidRPr="00E55DA6" w:rsidRDefault="00E55DA6" w:rsidP="00E55DA6">
      <w:pPr>
        <w:pStyle w:val="Bullettextcont"/>
        <w:rPr>
          <w:lang w:eastAsia="en-US"/>
        </w:rPr>
      </w:pPr>
      <w:r w:rsidRPr="00E55DA6">
        <w:rPr>
          <w:lang w:eastAsia="en-US"/>
        </w:rPr>
        <w:t>14.</w:t>
      </w:r>
      <w:r>
        <w:rPr>
          <w:lang w:eastAsia="en-US"/>
        </w:rPr>
        <w:tab/>
      </w:r>
      <w:r w:rsidRPr="00E55DA6">
        <w:rPr>
          <w:lang w:eastAsia="en-US"/>
        </w:rPr>
        <w:t>Lauds spiritual sovereignty of Im</w:t>
      </w:r>
      <w:r w:rsidRPr="00E55DA6">
        <w:t>á</w:t>
      </w:r>
      <w:r w:rsidRPr="00E55DA6">
        <w:rPr>
          <w:lang w:eastAsia="en-US"/>
        </w:rPr>
        <w:t xml:space="preserve">m </w:t>
      </w:r>
      <w:r w:rsidRPr="00E55DA6">
        <w:t>Ḥ</w:t>
      </w:r>
      <w:r w:rsidRPr="00E55DA6">
        <w:rPr>
          <w:lang w:eastAsia="en-US"/>
        </w:rPr>
        <w:t>usayn.</w:t>
      </w:r>
    </w:p>
    <w:p w14:paraId="05E193E4" w14:textId="77777777" w:rsidR="00E55DA6" w:rsidRPr="00E55DA6" w:rsidRDefault="00E55DA6" w:rsidP="00E55DA6">
      <w:pPr>
        <w:pStyle w:val="Bullettextcont"/>
        <w:rPr>
          <w:lang w:eastAsia="en-US"/>
        </w:rPr>
      </w:pPr>
      <w:r w:rsidRPr="00E55DA6">
        <w:rPr>
          <w:lang w:eastAsia="en-US"/>
        </w:rPr>
        <w:t>15.</w:t>
      </w:r>
      <w:r>
        <w:rPr>
          <w:lang w:eastAsia="en-US"/>
        </w:rPr>
        <w:tab/>
      </w:r>
      <w:r w:rsidRPr="00E55DA6">
        <w:rPr>
          <w:lang w:eastAsia="en-US"/>
        </w:rPr>
        <w:t xml:space="preserve">Meaning the symbolic term </w:t>
      </w:r>
      <w:r>
        <w:rPr>
          <w:lang w:eastAsia="en-US"/>
        </w:rPr>
        <w:t>“</w:t>
      </w:r>
      <w:r w:rsidRPr="00E55DA6">
        <w:rPr>
          <w:lang w:eastAsia="en-US"/>
        </w:rPr>
        <w:t>Return</w:t>
      </w:r>
      <w:r>
        <w:rPr>
          <w:lang w:eastAsia="en-US"/>
        </w:rPr>
        <w:t>”</w:t>
      </w:r>
      <w:r w:rsidRPr="00E55DA6">
        <w:rPr>
          <w:lang w:eastAsia="en-US"/>
        </w:rPr>
        <w:t>.</w:t>
      </w:r>
    </w:p>
    <w:p w14:paraId="39F3411C" w14:textId="77777777" w:rsidR="00E55DA6" w:rsidRPr="00E55DA6" w:rsidRDefault="00E55DA6" w:rsidP="00E55DA6">
      <w:pPr>
        <w:pStyle w:val="Bullettextcont"/>
        <w:rPr>
          <w:lang w:eastAsia="en-US"/>
        </w:rPr>
      </w:pPr>
      <w:r w:rsidRPr="00E55DA6">
        <w:rPr>
          <w:lang w:eastAsia="en-US"/>
        </w:rPr>
        <w:t>16.</w:t>
      </w:r>
      <w:r>
        <w:rPr>
          <w:lang w:eastAsia="en-US"/>
        </w:rPr>
        <w:tab/>
      </w:r>
      <w:r w:rsidRPr="00E55DA6">
        <w:rPr>
          <w:lang w:eastAsia="en-US"/>
        </w:rPr>
        <w:t xml:space="preserve">Meaning the symbolic term </w:t>
      </w:r>
      <w:r>
        <w:rPr>
          <w:lang w:eastAsia="en-US"/>
        </w:rPr>
        <w:t>“</w:t>
      </w:r>
      <w:r w:rsidRPr="00E55DA6">
        <w:rPr>
          <w:lang w:eastAsia="en-US"/>
        </w:rPr>
        <w:t>Resurrection</w:t>
      </w:r>
      <w:r>
        <w:rPr>
          <w:lang w:eastAsia="en-US"/>
        </w:rPr>
        <w:t>”</w:t>
      </w:r>
      <w:r w:rsidRPr="00E55DA6">
        <w:rPr>
          <w:lang w:eastAsia="en-US"/>
        </w:rPr>
        <w:t>.</w:t>
      </w:r>
    </w:p>
    <w:p w14:paraId="44159A40" w14:textId="77777777" w:rsidR="00E55DA6" w:rsidRPr="00E55DA6" w:rsidRDefault="00E55DA6" w:rsidP="00E55DA6">
      <w:pPr>
        <w:pStyle w:val="Bullettextcont"/>
        <w:rPr>
          <w:lang w:eastAsia="en-US"/>
        </w:rPr>
      </w:pPr>
      <w:r w:rsidRPr="00E55DA6">
        <w:rPr>
          <w:lang w:eastAsia="en-US"/>
        </w:rPr>
        <w:t>17.</w:t>
      </w:r>
      <w:r>
        <w:rPr>
          <w:lang w:eastAsia="en-US"/>
        </w:rPr>
        <w:tab/>
      </w:r>
      <w:r w:rsidRPr="00E55DA6">
        <w:rPr>
          <w:lang w:eastAsia="en-US"/>
        </w:rPr>
        <w:t xml:space="preserve">Meaning the symbolic term </w:t>
      </w:r>
      <w:r>
        <w:rPr>
          <w:lang w:eastAsia="en-US"/>
        </w:rPr>
        <w:t>“</w:t>
      </w:r>
      <w:r w:rsidRPr="00E55DA6">
        <w:rPr>
          <w:lang w:eastAsia="en-US"/>
        </w:rPr>
        <w:t>Seal of the Prophets</w:t>
      </w:r>
      <w:r>
        <w:rPr>
          <w:lang w:eastAsia="en-US"/>
        </w:rPr>
        <w:t>”</w:t>
      </w:r>
      <w:r w:rsidRPr="00E55DA6">
        <w:rPr>
          <w:lang w:eastAsia="en-US"/>
        </w:rPr>
        <w:t>.</w:t>
      </w:r>
    </w:p>
    <w:p w14:paraId="0BCB633E" w14:textId="77777777" w:rsidR="00E55DA6" w:rsidRPr="00E55DA6" w:rsidRDefault="00E55DA6" w:rsidP="00E55DA6">
      <w:pPr>
        <w:pStyle w:val="Bullettextcont"/>
        <w:rPr>
          <w:lang w:eastAsia="en-US"/>
        </w:rPr>
      </w:pPr>
      <w:r w:rsidRPr="00E55DA6">
        <w:rPr>
          <w:lang w:eastAsia="en-US"/>
        </w:rPr>
        <w:t>18.</w:t>
      </w:r>
      <w:r>
        <w:rPr>
          <w:lang w:eastAsia="en-US"/>
        </w:rPr>
        <w:tab/>
      </w:r>
      <w:r w:rsidRPr="00E55DA6">
        <w:rPr>
          <w:lang w:eastAsia="en-US"/>
        </w:rPr>
        <w:t xml:space="preserve">Meaning the symbolic term </w:t>
      </w:r>
      <w:r>
        <w:rPr>
          <w:lang w:eastAsia="en-US"/>
        </w:rPr>
        <w:t>“</w:t>
      </w:r>
      <w:r w:rsidRPr="00E55DA6">
        <w:rPr>
          <w:lang w:eastAsia="en-US"/>
        </w:rPr>
        <w:t>Day of Judgement</w:t>
      </w:r>
      <w:r>
        <w:rPr>
          <w:lang w:eastAsia="en-US"/>
        </w:rPr>
        <w:t>”</w:t>
      </w:r>
      <w:r w:rsidRPr="00E55DA6">
        <w:rPr>
          <w:lang w:eastAsia="en-US"/>
        </w:rPr>
        <w:t>.</w:t>
      </w:r>
    </w:p>
    <w:p w14:paraId="14AAFAC6" w14:textId="77777777" w:rsidR="00E55DA6" w:rsidRPr="00E55DA6" w:rsidRDefault="00E55DA6" w:rsidP="00E55DA6">
      <w:pPr>
        <w:pStyle w:val="Bullettextcont"/>
        <w:rPr>
          <w:lang w:eastAsia="en-US"/>
        </w:rPr>
      </w:pPr>
      <w:r w:rsidRPr="00E55DA6">
        <w:rPr>
          <w:lang w:eastAsia="en-US"/>
        </w:rPr>
        <w:t>19.</w:t>
      </w:r>
      <w:r>
        <w:rPr>
          <w:lang w:eastAsia="en-US"/>
        </w:rPr>
        <w:tab/>
      </w:r>
      <w:r w:rsidRPr="00E55DA6">
        <w:rPr>
          <w:lang w:eastAsia="en-US"/>
        </w:rPr>
        <w:t>Distinguishes between three stages of Divine Revelation.</w:t>
      </w:r>
    </w:p>
    <w:p w14:paraId="7E6328B6" w14:textId="77777777" w:rsidR="00E55DA6" w:rsidRPr="00E55DA6" w:rsidRDefault="00E55DA6" w:rsidP="00E55DA6">
      <w:pPr>
        <w:pStyle w:val="Bullettextcont"/>
        <w:rPr>
          <w:lang w:eastAsia="en-US"/>
        </w:rPr>
      </w:pPr>
      <w:r w:rsidRPr="00E55DA6">
        <w:rPr>
          <w:lang w:eastAsia="en-US"/>
        </w:rPr>
        <w:t>20.</w:t>
      </w:r>
      <w:r>
        <w:rPr>
          <w:lang w:eastAsia="en-US"/>
        </w:rPr>
        <w:tab/>
      </w:r>
      <w:r w:rsidRPr="00E55DA6">
        <w:rPr>
          <w:lang w:eastAsia="en-US"/>
        </w:rPr>
        <w:t xml:space="preserve">Expedites on glories and wonders of the </w:t>
      </w:r>
      <w:r>
        <w:rPr>
          <w:lang w:eastAsia="en-US"/>
        </w:rPr>
        <w:t>“</w:t>
      </w:r>
      <w:r w:rsidRPr="00E55DA6">
        <w:rPr>
          <w:lang w:eastAsia="en-US"/>
        </w:rPr>
        <w:t>City of God</w:t>
      </w:r>
      <w:r>
        <w:rPr>
          <w:lang w:eastAsia="en-US"/>
        </w:rPr>
        <w:t>”</w:t>
      </w:r>
      <w:r w:rsidRPr="00E55DA6">
        <w:rPr>
          <w:lang w:eastAsia="en-US"/>
        </w:rPr>
        <w:t>.</w:t>
      </w:r>
    </w:p>
    <w:p w14:paraId="3D1DC375" w14:textId="77777777" w:rsidR="00E55DA6" w:rsidRPr="00E55DA6" w:rsidRDefault="00E55DA6" w:rsidP="00E55DA6">
      <w:pPr>
        <w:pStyle w:val="Text"/>
        <w:rPr>
          <w:szCs w:val="20"/>
          <w:lang w:eastAsia="en-US"/>
        </w:rPr>
      </w:pPr>
      <w:r w:rsidRPr="00E55DA6">
        <w:rPr>
          <w:lang w:eastAsia="en-US"/>
        </w:rPr>
        <w:t>Explanation of what Baha</w:t>
      </w:r>
      <w:r>
        <w:rPr>
          <w:lang w:eastAsia="en-US"/>
        </w:rPr>
        <w:t>’</w:t>
      </w:r>
      <w:r w:rsidRPr="00E55DA6">
        <w:rPr>
          <w:lang w:eastAsia="en-US"/>
        </w:rPr>
        <w:t xml:space="preserve">is mean when they </w:t>
      </w:r>
      <w:r>
        <w:rPr>
          <w:lang w:eastAsia="en-US"/>
        </w:rPr>
        <w:t>a</w:t>
      </w:r>
      <w:r w:rsidRPr="00E55DA6">
        <w:rPr>
          <w:lang w:eastAsia="en-US"/>
        </w:rPr>
        <w:t>re talking of belief</w:t>
      </w:r>
      <w:r>
        <w:rPr>
          <w:lang w:eastAsia="en-US"/>
        </w:rPr>
        <w:t xml:space="preserve"> </w:t>
      </w:r>
      <w:r w:rsidRPr="00E55DA6">
        <w:rPr>
          <w:szCs w:val="20"/>
          <w:lang w:eastAsia="en-US"/>
        </w:rPr>
        <w:t xml:space="preserve">in a personal God. </w:t>
      </w:r>
      <w:r>
        <w:rPr>
          <w:szCs w:val="20"/>
          <w:lang w:eastAsia="en-US"/>
        </w:rPr>
        <w:t xml:space="preserve"> </w:t>
      </w:r>
      <w:r w:rsidRPr="00E55DA6">
        <w:rPr>
          <w:szCs w:val="20"/>
          <w:lang w:eastAsia="en-US"/>
        </w:rPr>
        <w:t xml:space="preserve">Written by Shoghi Effendi, printed in </w:t>
      </w:r>
      <w:r w:rsidRPr="00E55DA6">
        <w:rPr>
          <w:i/>
          <w:iCs/>
          <w:szCs w:val="20"/>
          <w:lang w:eastAsia="en-US"/>
        </w:rPr>
        <w:t>Bah</w:t>
      </w:r>
      <w:r w:rsidRPr="00E55DA6">
        <w:rPr>
          <w:i/>
        </w:rPr>
        <w:t>á</w:t>
      </w:r>
      <w:r w:rsidRPr="00E55DA6">
        <w:rPr>
          <w:i/>
          <w:iCs/>
          <w:szCs w:val="20"/>
          <w:lang w:eastAsia="en-US"/>
        </w:rPr>
        <w:t>’</w:t>
      </w:r>
      <w:r w:rsidRPr="00E55DA6">
        <w:rPr>
          <w:i/>
        </w:rPr>
        <w:t>í</w:t>
      </w:r>
      <w:r w:rsidRPr="00E55DA6">
        <w:rPr>
          <w:i/>
          <w:iCs/>
          <w:szCs w:val="20"/>
          <w:lang w:eastAsia="en-US"/>
        </w:rPr>
        <w:t xml:space="preserve"> News</w:t>
      </w:r>
      <w:r w:rsidRPr="00E55DA6">
        <w:rPr>
          <w:szCs w:val="20"/>
          <w:lang w:eastAsia="en-US"/>
        </w:rPr>
        <w:t>,</w:t>
      </w:r>
      <w:r>
        <w:rPr>
          <w:szCs w:val="20"/>
          <w:lang w:eastAsia="en-US"/>
        </w:rPr>
        <w:t xml:space="preserve"> </w:t>
      </w:r>
      <w:r w:rsidRPr="00E55DA6">
        <w:rPr>
          <w:szCs w:val="20"/>
          <w:lang w:eastAsia="en-US"/>
        </w:rPr>
        <w:t>March 1947.</w:t>
      </w:r>
    </w:p>
    <w:p w14:paraId="39E0245D" w14:textId="77777777" w:rsidR="00E55DA6" w:rsidRPr="00E55DA6" w:rsidRDefault="00E55DA6" w:rsidP="00B45AA5">
      <w:pPr>
        <w:pStyle w:val="Quote"/>
        <w:rPr>
          <w:rFonts w:hint="eastAsia"/>
          <w:lang w:eastAsia="en-US"/>
        </w:rPr>
      </w:pPr>
      <w:r w:rsidRPr="00E55DA6">
        <w:rPr>
          <w:lang w:eastAsia="en-US"/>
        </w:rPr>
        <w:t>What is meant by personal God is a God Who is conscious of His creation, Who has a Mind, a Will, a Purpose, and not, as many scientists and materialists believe, an unconscious and determined force operating in the universe.</w:t>
      </w:r>
      <w:r>
        <w:rPr>
          <w:lang w:eastAsia="en-US"/>
        </w:rPr>
        <w:t xml:space="preserve"> </w:t>
      </w:r>
      <w:r w:rsidRPr="00E55DA6">
        <w:rPr>
          <w:lang w:eastAsia="en-US"/>
        </w:rPr>
        <w:t xml:space="preserve"> Such conception of the Divine Being, as the Supreme and ever present Reality in the world, is not anthropomorphic, for it transcends all human limitations and forms, and does by no means attempt to define the essence of Divinity which is obviously beyond any human comprehension. </w:t>
      </w:r>
      <w:r>
        <w:rPr>
          <w:lang w:eastAsia="en-US"/>
        </w:rPr>
        <w:t xml:space="preserve"> </w:t>
      </w:r>
      <w:r w:rsidRPr="00E55DA6">
        <w:rPr>
          <w:lang w:eastAsia="en-US"/>
        </w:rPr>
        <w:t xml:space="preserve">To say that God is a personal Reality does not mean that He has a physical form, or does in any way resemble a human being. </w:t>
      </w:r>
      <w:r>
        <w:rPr>
          <w:lang w:eastAsia="en-US"/>
        </w:rPr>
        <w:t xml:space="preserve"> </w:t>
      </w:r>
      <w:r w:rsidRPr="00E55DA6">
        <w:rPr>
          <w:lang w:eastAsia="en-US"/>
        </w:rPr>
        <w:t>To entertain such belief would be sheer blasphemy.</w:t>
      </w:r>
      <w:r>
        <w:rPr>
          <w:rStyle w:val="FootnoteReference"/>
          <w:lang w:eastAsia="en-US"/>
        </w:rPr>
        <w:footnoteReference w:id="2"/>
      </w:r>
      <w:bookmarkStart w:id="0" w:name="_GoBack"/>
      <w:bookmarkEnd w:id="0"/>
    </w:p>
    <w:sectPr w:rsidR="00E55DA6" w:rsidRPr="00E55DA6" w:rsidSect="00D56067">
      <w:footnotePr>
        <w:numRestart w:val="eachPage"/>
      </w:footnotePr>
      <w:pgSz w:w="12240" w:h="15840" w:code="178"/>
      <w:pgMar w:top="720" w:right="720" w:bottom="720" w:left="720" w:header="720" w:footer="567" w:gutter="357"/>
      <w:cols w:space="708"/>
      <w:noEndnote/>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47DBF" w14:textId="77777777" w:rsidR="00BD1FBC" w:rsidRDefault="00BD1FBC" w:rsidP="00E41271">
      <w:pPr>
        <w:rPr>
          <w:rFonts w:hint="eastAsia"/>
        </w:rPr>
      </w:pPr>
      <w:r>
        <w:separator/>
      </w:r>
    </w:p>
  </w:endnote>
  <w:endnote w:type="continuationSeparator" w:id="0">
    <w:p w14:paraId="642B30EA" w14:textId="77777777" w:rsidR="00BD1FBC" w:rsidRDefault="00BD1FBC" w:rsidP="00E4127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altName w:val="Times New Roman"/>
    <w:panose1 w:val="00000000000000000000"/>
    <w:charset w:val="00"/>
    <w:family w:val="roman"/>
    <w:notTrueType/>
    <w:pitch w:val="default"/>
  </w:font>
  <w:font w:name="Calibri">
    <w:altName w:val="Arial"/>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PMingLiU">
    <w:altName w:val="新細明體"/>
    <w:panose1 w:val="000000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FDADA" w14:textId="77777777" w:rsidR="00BD1FBC" w:rsidRDefault="00BD1FBC" w:rsidP="00E41271">
      <w:pPr>
        <w:rPr>
          <w:rFonts w:hint="eastAsia"/>
        </w:rPr>
      </w:pPr>
      <w:r>
        <w:separator/>
      </w:r>
    </w:p>
  </w:footnote>
  <w:footnote w:type="continuationSeparator" w:id="0">
    <w:p w14:paraId="6C6B618B" w14:textId="77777777" w:rsidR="00BD1FBC" w:rsidRDefault="00BD1FBC" w:rsidP="00E41271">
      <w:pPr>
        <w:rPr>
          <w:rFonts w:hint="eastAsia"/>
        </w:rPr>
      </w:pPr>
      <w:r>
        <w:continuationSeparator/>
      </w:r>
    </w:p>
  </w:footnote>
  <w:footnote w:id="1">
    <w:p w14:paraId="497A0948" w14:textId="77777777" w:rsidR="00D6611B" w:rsidRPr="00D000C4" w:rsidRDefault="00D6611B" w:rsidP="00D6611B">
      <w:pPr>
        <w:pStyle w:val="FootnoteText"/>
        <w:ind w:left="288" w:right="-288" w:hanging="288"/>
        <w:jc w:val="left"/>
        <w:rPr>
          <w:rFonts w:hint="eastAsia"/>
        </w:rPr>
      </w:pPr>
      <w:r>
        <w:rPr>
          <w:rStyle w:val="FootnoteReference"/>
          <w:rFonts w:hint="eastAsia"/>
        </w:rPr>
        <w:footnoteRef/>
      </w:r>
      <w:r>
        <w:rPr>
          <w:rFonts w:hint="eastAsia"/>
        </w:rPr>
        <w:t xml:space="preserve"> </w:t>
      </w:r>
      <w:r>
        <w:t xml:space="preserve">This document is from the Emma Maxie Jones Collection, </w:t>
      </w:r>
      <w:r w:rsidRPr="007D68C1">
        <w:t>https://bahai-library.com/emma_maxwell_jones_collection</w:t>
      </w:r>
      <w:r w:rsidRPr="00942EE5">
        <w:rPr>
          <w:iCs w:val="0"/>
          <w:spacing w:val="-20"/>
        </w:rPr>
        <w:t xml:space="preserve"> </w:t>
      </w:r>
      <w:r>
        <w:t>, prepared by E. Jones, M. Thomas, and J. Winters (2021-2022).</w:t>
      </w:r>
    </w:p>
  </w:footnote>
  <w:footnote w:id="2">
    <w:p w14:paraId="5327187C" w14:textId="77777777" w:rsidR="00E55DA6" w:rsidRDefault="00E55DA6" w:rsidP="00E55DA6">
      <w:pPr>
        <w:pStyle w:val="FootnoteText"/>
        <w:rPr>
          <w:rFonts w:hint="eastAsia"/>
        </w:rPr>
      </w:pPr>
      <w:r>
        <w:rPr>
          <w:rStyle w:val="FootnoteReference"/>
        </w:rPr>
        <w:footnoteRef/>
      </w:r>
      <w:r>
        <w:tab/>
      </w:r>
      <w:r w:rsidRPr="00E55DA6">
        <w:rPr>
          <w:lang w:eastAsia="en-US"/>
        </w:rPr>
        <w:t xml:space="preserve">From a letter written on behalf of Shoghi Effendi to an individual believer, </w:t>
      </w:r>
      <w:r>
        <w:rPr>
          <w:lang w:eastAsia="en-US"/>
        </w:rPr>
        <w:t xml:space="preserve">21 </w:t>
      </w:r>
      <w:r w:rsidRPr="00E55DA6">
        <w:rPr>
          <w:lang w:eastAsia="en-US"/>
        </w:rPr>
        <w:t>April 1939</w:t>
      </w:r>
      <w:r>
        <w:rPr>
          <w:lang w:eastAsia="en-US"/>
        </w:rPr>
        <w:t xml:space="preserve">.  </w:t>
      </w:r>
      <w:r w:rsidRPr="00E55DA6">
        <w:rPr>
          <w:i/>
          <w:iCs w:val="0"/>
          <w:szCs w:val="20"/>
          <w:lang w:eastAsia="en-US"/>
        </w:rPr>
        <w:t>Lights of Guidance</w:t>
      </w:r>
      <w:r w:rsidRPr="00E55DA6">
        <w:rPr>
          <w:szCs w:val="20"/>
          <w:lang w:eastAsia="en-US"/>
        </w:rPr>
        <w:t>, p. 477</w:t>
      </w:r>
      <w:r>
        <w:rPr>
          <w:szCs w:val="20"/>
          <w:lang w:eastAsia="en-US"/>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DA6"/>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FF1"/>
    <w:rsid w:val="000F60C3"/>
    <w:rsid w:val="000F752D"/>
    <w:rsid w:val="000F7AFA"/>
    <w:rsid w:val="000F7C79"/>
    <w:rsid w:val="001004B2"/>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31FD"/>
    <w:rsid w:val="001839B3"/>
    <w:rsid w:val="00183B9E"/>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AE6"/>
    <w:rsid w:val="001C3F44"/>
    <w:rsid w:val="001C3FFB"/>
    <w:rsid w:val="001C4404"/>
    <w:rsid w:val="001C4EEF"/>
    <w:rsid w:val="001C4F32"/>
    <w:rsid w:val="001C6340"/>
    <w:rsid w:val="001C7343"/>
    <w:rsid w:val="001C75E0"/>
    <w:rsid w:val="001C7997"/>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1098"/>
    <w:rsid w:val="002A194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F4D"/>
    <w:rsid w:val="00330C05"/>
    <w:rsid w:val="00330DC6"/>
    <w:rsid w:val="00331954"/>
    <w:rsid w:val="00331CF9"/>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BDE"/>
    <w:rsid w:val="00354F22"/>
    <w:rsid w:val="0035510E"/>
    <w:rsid w:val="00355C4E"/>
    <w:rsid w:val="00355F03"/>
    <w:rsid w:val="00355F44"/>
    <w:rsid w:val="003564E7"/>
    <w:rsid w:val="00356FE6"/>
    <w:rsid w:val="0035741C"/>
    <w:rsid w:val="0035794B"/>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E59"/>
    <w:rsid w:val="004152FF"/>
    <w:rsid w:val="0041576C"/>
    <w:rsid w:val="00415D1E"/>
    <w:rsid w:val="00415DA2"/>
    <w:rsid w:val="00415DB2"/>
    <w:rsid w:val="00417205"/>
    <w:rsid w:val="0041799C"/>
    <w:rsid w:val="00417A90"/>
    <w:rsid w:val="00420BC1"/>
    <w:rsid w:val="00421CCE"/>
    <w:rsid w:val="0042270A"/>
    <w:rsid w:val="0042316C"/>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848"/>
    <w:rsid w:val="00453A10"/>
    <w:rsid w:val="004543E2"/>
    <w:rsid w:val="00454980"/>
    <w:rsid w:val="00454FF5"/>
    <w:rsid w:val="00455131"/>
    <w:rsid w:val="00455E7B"/>
    <w:rsid w:val="0045611E"/>
    <w:rsid w:val="00456CD0"/>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4641"/>
    <w:rsid w:val="005F47F9"/>
    <w:rsid w:val="005F4C15"/>
    <w:rsid w:val="005F50DD"/>
    <w:rsid w:val="005F540A"/>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D0"/>
    <w:rsid w:val="007B3024"/>
    <w:rsid w:val="007B3B33"/>
    <w:rsid w:val="007B4032"/>
    <w:rsid w:val="007B4568"/>
    <w:rsid w:val="007B476B"/>
    <w:rsid w:val="007B62DF"/>
    <w:rsid w:val="007B64EC"/>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F1"/>
    <w:rsid w:val="008562AA"/>
    <w:rsid w:val="00856692"/>
    <w:rsid w:val="008575B5"/>
    <w:rsid w:val="00857A26"/>
    <w:rsid w:val="00857BA8"/>
    <w:rsid w:val="00857FEF"/>
    <w:rsid w:val="008603E1"/>
    <w:rsid w:val="008606F6"/>
    <w:rsid w:val="00860F68"/>
    <w:rsid w:val="00861FF5"/>
    <w:rsid w:val="00862555"/>
    <w:rsid w:val="00862898"/>
    <w:rsid w:val="00862B02"/>
    <w:rsid w:val="00862BFF"/>
    <w:rsid w:val="00863A11"/>
    <w:rsid w:val="00864543"/>
    <w:rsid w:val="008645CB"/>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89F"/>
    <w:rsid w:val="008C5B29"/>
    <w:rsid w:val="008C5B78"/>
    <w:rsid w:val="008C5BB1"/>
    <w:rsid w:val="008C66D2"/>
    <w:rsid w:val="008C67DF"/>
    <w:rsid w:val="008C69E9"/>
    <w:rsid w:val="008D0FAA"/>
    <w:rsid w:val="008D1A23"/>
    <w:rsid w:val="008D2242"/>
    <w:rsid w:val="008D2497"/>
    <w:rsid w:val="008D27ED"/>
    <w:rsid w:val="008D3488"/>
    <w:rsid w:val="008D4C39"/>
    <w:rsid w:val="008D6064"/>
    <w:rsid w:val="008D685A"/>
    <w:rsid w:val="008D6AA3"/>
    <w:rsid w:val="008D6FFE"/>
    <w:rsid w:val="008D70A0"/>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5BC"/>
    <w:rsid w:val="008E75DC"/>
    <w:rsid w:val="008F0267"/>
    <w:rsid w:val="008F0F5E"/>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689"/>
    <w:rsid w:val="00924266"/>
    <w:rsid w:val="009270E9"/>
    <w:rsid w:val="0092711E"/>
    <w:rsid w:val="00927375"/>
    <w:rsid w:val="00931712"/>
    <w:rsid w:val="00932A15"/>
    <w:rsid w:val="0093317E"/>
    <w:rsid w:val="0093379C"/>
    <w:rsid w:val="00933EF8"/>
    <w:rsid w:val="00934EE7"/>
    <w:rsid w:val="00935057"/>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AA5"/>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1FBC"/>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62A"/>
    <w:rsid w:val="00D53E4D"/>
    <w:rsid w:val="00D547B2"/>
    <w:rsid w:val="00D550E1"/>
    <w:rsid w:val="00D553A5"/>
    <w:rsid w:val="00D557FB"/>
    <w:rsid w:val="00D55E7E"/>
    <w:rsid w:val="00D56067"/>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11B"/>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74B1"/>
    <w:rsid w:val="00E475D1"/>
    <w:rsid w:val="00E47985"/>
    <w:rsid w:val="00E47EBF"/>
    <w:rsid w:val="00E50086"/>
    <w:rsid w:val="00E50B28"/>
    <w:rsid w:val="00E514B3"/>
    <w:rsid w:val="00E53047"/>
    <w:rsid w:val="00E538A9"/>
    <w:rsid w:val="00E54A8B"/>
    <w:rsid w:val="00E54C23"/>
    <w:rsid w:val="00E5553D"/>
    <w:rsid w:val="00E55DA6"/>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4E8"/>
    <w:rsid w:val="00ED7D73"/>
    <w:rsid w:val="00EE0F22"/>
    <w:rsid w:val="00EE1D99"/>
    <w:rsid w:val="00EE3057"/>
    <w:rsid w:val="00EE46E8"/>
    <w:rsid w:val="00EE4A34"/>
    <w:rsid w:val="00EE513A"/>
    <w:rsid w:val="00EE5CC5"/>
    <w:rsid w:val="00EE610E"/>
    <w:rsid w:val="00EE61BC"/>
    <w:rsid w:val="00EE61FE"/>
    <w:rsid w:val="00EE631A"/>
    <w:rsid w:val="00EE6A87"/>
    <w:rsid w:val="00EE79DC"/>
    <w:rsid w:val="00EE7FBF"/>
    <w:rsid w:val="00EF04F9"/>
    <w:rsid w:val="00EF06C8"/>
    <w:rsid w:val="00EF0E9D"/>
    <w:rsid w:val="00EF1323"/>
    <w:rsid w:val="00EF2EEE"/>
    <w:rsid w:val="00EF422B"/>
    <w:rsid w:val="00EF4368"/>
    <w:rsid w:val="00EF4B95"/>
    <w:rsid w:val="00EF4DC4"/>
    <w:rsid w:val="00EF714F"/>
    <w:rsid w:val="00EF77D2"/>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E04"/>
    <w:rsid w:val="00FE4229"/>
    <w:rsid w:val="00FE5654"/>
    <w:rsid w:val="00FE64CC"/>
    <w:rsid w:val="00FE667F"/>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7C3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E55DA6"/>
    <w:pPr>
      <w:widowControl w:val="0"/>
      <w:kinsoku w:val="0"/>
      <w:overflowPunct w:val="0"/>
      <w:textAlignment w:val="baseline"/>
    </w:pPr>
    <w:rPr>
      <w:rFonts w:eastAsiaTheme="minorEastAsia"/>
      <w:szCs w:val="24"/>
      <w:lang w:val="en-US" w:eastAsia="en-IN"/>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spacing w:before="120"/>
      <w:ind w:firstLine="284"/>
      <w:jc w:val="both"/>
    </w:pPr>
    <w:rPr>
      <w:rFonts w:eastAsiaTheme="minorHAnsi"/>
    </w:r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rFonts w:eastAsiaTheme="minorHAnsi"/>
      <w:kern w:val="20"/>
      <w:sz w:val="18"/>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1D57C2"/>
    <w:pPr>
      <w:keepLines/>
      <w:ind w:left="284" w:hanging="284"/>
      <w:jc w:val="both"/>
    </w:pPr>
    <w:rPr>
      <w:iCs/>
      <w:kern w:val="20"/>
      <w:sz w:val="18"/>
      <w:szCs w:val="18"/>
    </w:rPr>
  </w:style>
  <w:style w:type="character" w:customStyle="1" w:styleId="FootnoteTextChar">
    <w:name w:val="Footnote Text Char"/>
    <w:link w:val="FootnoteText"/>
    <w:rsid w:val="001D57C2"/>
    <w:rPr>
      <w:rFonts w:eastAsia="Times New Roman"/>
      <w:iCs/>
      <w:kern w:val="20"/>
      <w:sz w:val="18"/>
      <w:szCs w:val="18"/>
      <w14:numForm w14:val="oldStyle"/>
      <w14:numSpacing w14:val="proportional"/>
    </w:rPr>
  </w:style>
  <w:style w:type="paragraph" w:styleId="Header">
    <w:name w:val="header"/>
    <w:basedOn w:val="Normal"/>
    <w:link w:val="HeaderChar"/>
    <w:rsid w:val="00B74F5A"/>
    <w:pPr>
      <w:tabs>
        <w:tab w:val="center" w:pos="4680"/>
        <w:tab w:val="right" w:pos="9360"/>
      </w:tabs>
      <w:spacing w:after="120"/>
    </w:pPr>
    <w:rPr>
      <w:rFonts w:eastAsiaTheme="minorHAnsi"/>
      <w:sz w:val="18"/>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036C86"/>
    <w:pPr>
      <w:keepNext/>
      <w:keepLines/>
      <w:spacing w:before="120"/>
      <w:jc w:val="center"/>
    </w:pPr>
    <w:rPr>
      <w:rFonts w:eastAsiaTheme="minorHAnsi"/>
      <w:b/>
      <w:sz w:val="28"/>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E55DA6"/>
    <w:pPr>
      <w:spacing w:before="120"/>
      <w:ind w:left="567"/>
      <w:jc w:val="both"/>
    </w:pPr>
  </w:style>
  <w:style w:type="character" w:customStyle="1" w:styleId="QuoteChar">
    <w:name w:val="Quote Char"/>
    <w:link w:val="Quote"/>
    <w:rsid w:val="00E55DA6"/>
    <w:rPr>
      <w:rFonts w:eastAsiaTheme="minorEastAsia"/>
      <w:szCs w:val="24"/>
      <w:lang w:val="en-US" w:eastAsia="en-IN"/>
      <w14:numForm w14:val="oldStyle"/>
      <w14:numSpacing w14:val="proportional"/>
    </w:rPr>
  </w:style>
  <w:style w:type="paragraph" w:customStyle="1" w:styleId="Quotects">
    <w:name w:val="Quotects"/>
    <w:basedOn w:val="Normal"/>
    <w:qFormat/>
    <w:rsid w:val="00295AF7"/>
    <w:pPr>
      <w:ind w:left="567"/>
      <w:jc w:val="both"/>
    </w:pPr>
    <w:rPr>
      <w:rFonts w:eastAsiaTheme="minorHAnsi"/>
      <w:sz w:val="18"/>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Ind w:w="0" w:type="dxa"/>
      <w:tblCellMar>
        <w:top w:w="0" w:type="dxa"/>
        <w:left w:w="113" w:type="dxa"/>
        <w:bottom w:w="0"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uiPriority w:val="39"/>
    <w:rsid w:val="00B74F5A"/>
    <w:pPr>
      <w:tabs>
        <w:tab w:val="right" w:pos="284"/>
        <w:tab w:val="left" w:pos="425"/>
        <w:tab w:val="right" w:leader="dot" w:pos="5727"/>
        <w:tab w:val="right" w:pos="6120"/>
      </w:tabs>
      <w:spacing w:before="120" w:after="120"/>
      <w:jc w:val="center"/>
    </w:pPr>
    <w:rPr>
      <w:bCs/>
      <w:szCs w:val="28"/>
      <w14:numSpacing w14:val="tabular"/>
    </w:rPr>
  </w:style>
  <w:style w:type="paragraph" w:styleId="TOC2">
    <w:name w:val="toc 2"/>
    <w:basedOn w:val="Normal"/>
    <w:next w:val="Normal"/>
    <w:uiPriority w:val="39"/>
    <w:rsid w:val="00B74F5A"/>
    <w:pPr>
      <w:tabs>
        <w:tab w:val="decimal" w:pos="284"/>
        <w:tab w:val="left" w:pos="567"/>
        <w:tab w:val="right" w:leader="dot" w:pos="5727"/>
        <w:tab w:val="right" w:pos="6120"/>
      </w:tabs>
    </w:pPr>
    <w:rPr>
      <w:bCs/>
      <w14:numSpacing w14:val="tabular"/>
    </w:rPr>
  </w:style>
  <w:style w:type="paragraph" w:styleId="TOC3">
    <w:name w:val="toc 3"/>
    <w:basedOn w:val="Normal"/>
    <w:next w:val="Normal"/>
    <w:uiPriority w:val="39"/>
    <w:rsid w:val="00B74F5A"/>
    <w:pPr>
      <w:pageBreakBefore/>
    </w:pPr>
    <w:rPr>
      <w:i/>
      <w:color w:val="FFFFFF" w:themeColor="background1"/>
      <w:sz w:val="12"/>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F66EA0"/>
    <w:pPr>
      <w:spacing w:after="120"/>
    </w:pPr>
    <w:rPr>
      <w:rFonts w:eastAsiaTheme="minorHAnsi"/>
      <w:bCs/>
      <w:i/>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E55DA6"/>
    <w:pPr>
      <w:widowControl w:val="0"/>
      <w:kinsoku w:val="0"/>
      <w:overflowPunct w:val="0"/>
      <w:textAlignment w:val="baseline"/>
    </w:pPr>
    <w:rPr>
      <w:rFonts w:eastAsiaTheme="minorEastAsia"/>
      <w:szCs w:val="24"/>
      <w:lang w:val="en-US" w:eastAsia="en-IN"/>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spacing w:before="120"/>
      <w:ind w:firstLine="284"/>
      <w:jc w:val="both"/>
    </w:pPr>
    <w:rPr>
      <w:rFonts w:eastAsiaTheme="minorHAnsi"/>
    </w:r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rFonts w:eastAsiaTheme="minorHAnsi"/>
      <w:kern w:val="20"/>
      <w:sz w:val="18"/>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1D57C2"/>
    <w:pPr>
      <w:keepLines/>
      <w:ind w:left="284" w:hanging="284"/>
      <w:jc w:val="both"/>
    </w:pPr>
    <w:rPr>
      <w:iCs/>
      <w:kern w:val="20"/>
      <w:sz w:val="18"/>
      <w:szCs w:val="18"/>
    </w:rPr>
  </w:style>
  <w:style w:type="character" w:customStyle="1" w:styleId="FootnoteTextChar">
    <w:name w:val="Footnote Text Char"/>
    <w:link w:val="FootnoteText"/>
    <w:rsid w:val="001D57C2"/>
    <w:rPr>
      <w:rFonts w:eastAsia="Times New Roman"/>
      <w:iCs/>
      <w:kern w:val="20"/>
      <w:sz w:val="18"/>
      <w:szCs w:val="18"/>
      <w14:numForm w14:val="oldStyle"/>
      <w14:numSpacing w14:val="proportional"/>
    </w:rPr>
  </w:style>
  <w:style w:type="paragraph" w:styleId="Header">
    <w:name w:val="header"/>
    <w:basedOn w:val="Normal"/>
    <w:link w:val="HeaderChar"/>
    <w:rsid w:val="00B74F5A"/>
    <w:pPr>
      <w:tabs>
        <w:tab w:val="center" w:pos="4680"/>
        <w:tab w:val="right" w:pos="9360"/>
      </w:tabs>
      <w:spacing w:after="120"/>
    </w:pPr>
    <w:rPr>
      <w:rFonts w:eastAsiaTheme="minorHAnsi"/>
      <w:sz w:val="18"/>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036C86"/>
    <w:pPr>
      <w:keepNext/>
      <w:keepLines/>
      <w:spacing w:before="120"/>
      <w:jc w:val="center"/>
    </w:pPr>
    <w:rPr>
      <w:rFonts w:eastAsiaTheme="minorHAnsi"/>
      <w:b/>
      <w:sz w:val="28"/>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E55DA6"/>
    <w:pPr>
      <w:spacing w:before="120"/>
      <w:ind w:left="567"/>
      <w:jc w:val="both"/>
    </w:pPr>
  </w:style>
  <w:style w:type="character" w:customStyle="1" w:styleId="QuoteChar">
    <w:name w:val="Quote Char"/>
    <w:link w:val="Quote"/>
    <w:rsid w:val="00E55DA6"/>
    <w:rPr>
      <w:rFonts w:eastAsiaTheme="minorEastAsia"/>
      <w:szCs w:val="24"/>
      <w:lang w:val="en-US" w:eastAsia="en-IN"/>
      <w14:numForm w14:val="oldStyle"/>
      <w14:numSpacing w14:val="proportional"/>
    </w:rPr>
  </w:style>
  <w:style w:type="paragraph" w:customStyle="1" w:styleId="Quotects">
    <w:name w:val="Quotects"/>
    <w:basedOn w:val="Normal"/>
    <w:qFormat/>
    <w:rsid w:val="00295AF7"/>
    <w:pPr>
      <w:ind w:left="567"/>
      <w:jc w:val="both"/>
    </w:pPr>
    <w:rPr>
      <w:rFonts w:eastAsiaTheme="minorHAnsi"/>
      <w:sz w:val="18"/>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Ind w:w="0" w:type="dxa"/>
      <w:tblCellMar>
        <w:top w:w="0" w:type="dxa"/>
        <w:left w:w="113" w:type="dxa"/>
        <w:bottom w:w="0"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uiPriority w:val="39"/>
    <w:rsid w:val="00B74F5A"/>
    <w:pPr>
      <w:tabs>
        <w:tab w:val="right" w:pos="284"/>
        <w:tab w:val="left" w:pos="425"/>
        <w:tab w:val="right" w:leader="dot" w:pos="5727"/>
        <w:tab w:val="right" w:pos="6120"/>
      </w:tabs>
      <w:spacing w:before="120" w:after="120"/>
      <w:jc w:val="center"/>
    </w:pPr>
    <w:rPr>
      <w:bCs/>
      <w:szCs w:val="28"/>
      <w14:numSpacing w14:val="tabular"/>
    </w:rPr>
  </w:style>
  <w:style w:type="paragraph" w:styleId="TOC2">
    <w:name w:val="toc 2"/>
    <w:basedOn w:val="Normal"/>
    <w:next w:val="Normal"/>
    <w:uiPriority w:val="39"/>
    <w:rsid w:val="00B74F5A"/>
    <w:pPr>
      <w:tabs>
        <w:tab w:val="decimal" w:pos="284"/>
        <w:tab w:val="left" w:pos="567"/>
        <w:tab w:val="right" w:leader="dot" w:pos="5727"/>
        <w:tab w:val="right" w:pos="6120"/>
      </w:tabs>
    </w:pPr>
    <w:rPr>
      <w:bCs/>
      <w14:numSpacing w14:val="tabular"/>
    </w:rPr>
  </w:style>
  <w:style w:type="paragraph" w:styleId="TOC3">
    <w:name w:val="toc 3"/>
    <w:basedOn w:val="Normal"/>
    <w:next w:val="Normal"/>
    <w:uiPriority w:val="39"/>
    <w:rsid w:val="00B74F5A"/>
    <w:pPr>
      <w:pageBreakBefore/>
    </w:pPr>
    <w:rPr>
      <w:i/>
      <w:color w:val="FFFFFF" w:themeColor="background1"/>
      <w:sz w:val="12"/>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F66EA0"/>
    <w:pPr>
      <w:spacing w:after="120"/>
    </w:pPr>
    <w:rPr>
      <w:rFonts w:eastAsiaTheme="minorHAnsi"/>
      <w:bCs/>
      <w:i/>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2094</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2021-12-27T09:10:00Z</dcterms:created>
  <dcterms:modified xsi:type="dcterms:W3CDTF">2022-01-16T04:11:00Z</dcterms:modified>
</cp:coreProperties>
</file>