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FF55" w14:textId="77777777" w:rsidR="00637BA5" w:rsidRPr="00636B4B" w:rsidRDefault="00637BA5" w:rsidP="00636B4B">
      <w:pPr>
        <w:rPr>
          <w:szCs w:val="20"/>
        </w:rPr>
      </w:pPr>
    </w:p>
    <w:p w14:paraId="5CEA38BE" w14:textId="7D9E5130" w:rsidR="00636B4B" w:rsidRPr="00636B4B" w:rsidRDefault="00636B4B" w:rsidP="0050570A">
      <w:pPr>
        <w:jc w:val="right"/>
        <w:rPr>
          <w:szCs w:val="20"/>
        </w:rPr>
      </w:pPr>
      <w:r w:rsidRPr="00636B4B">
        <w:rPr>
          <w:szCs w:val="20"/>
        </w:rPr>
        <w:t>P</w:t>
      </w:r>
      <w:r w:rsidR="0050570A">
        <w:rPr>
          <w:szCs w:val="20"/>
        </w:rPr>
        <w:t>age</w:t>
      </w:r>
      <w:r w:rsidRPr="00636B4B">
        <w:rPr>
          <w:szCs w:val="20"/>
        </w:rPr>
        <w:t xml:space="preserve"> 3</w:t>
      </w:r>
    </w:p>
    <w:p w14:paraId="208FBB33" w14:textId="67BD7C8F" w:rsidR="00636B4B" w:rsidRPr="00636B4B" w:rsidRDefault="00636B4B" w:rsidP="0050570A">
      <w:pPr>
        <w:pStyle w:val="Myheadc"/>
      </w:pPr>
      <w:r w:rsidRPr="00636B4B">
        <w:t>500,000 year cycle of Bahá</w:t>
      </w:r>
      <w:r w:rsidR="004B6F96">
        <w:t>’</w:t>
      </w:r>
      <w:r w:rsidRPr="00636B4B">
        <w:t>u</w:t>
      </w:r>
      <w:r w:rsidR="004B6F96">
        <w:t>’</w:t>
      </w:r>
      <w:r w:rsidRPr="00636B4B">
        <w:t>lláh</w:t>
      </w:r>
      <w:r w:rsidR="00DA1304">
        <w:t xml:space="preserve"> </w:t>
      </w:r>
      <w:r w:rsidR="00DA1304" w:rsidRPr="004C4CB9">
        <w:rPr>
          <w:rStyle w:val="FootnoteReference"/>
          <w:b w:val="0"/>
        </w:rPr>
        <w:footnoteReference w:id="1"/>
      </w:r>
    </w:p>
    <w:p w14:paraId="450D55C4" w14:textId="77777777" w:rsidR="00636B4B" w:rsidRPr="00636B4B" w:rsidRDefault="00636B4B" w:rsidP="0050570A">
      <w:pPr>
        <w:jc w:val="center"/>
        <w:rPr>
          <w:szCs w:val="20"/>
        </w:rPr>
      </w:pPr>
      <w:r w:rsidRPr="00636B4B">
        <w:rPr>
          <w:szCs w:val="20"/>
        </w:rPr>
        <w:t>Extract from letter of Shoghi Effendi to Leroy Ioas through</w:t>
      </w:r>
      <w:r w:rsidR="0050570A">
        <w:rPr>
          <w:szCs w:val="20"/>
        </w:rPr>
        <w:t xml:space="preserve"> [his secretary] </w:t>
      </w:r>
      <w:r w:rsidRPr="00636B4B">
        <w:rPr>
          <w:szCs w:val="20"/>
        </w:rPr>
        <w:t>H.</w:t>
      </w:r>
      <w:r w:rsidR="0050570A">
        <w:rPr>
          <w:szCs w:val="20"/>
        </w:rPr>
        <w:t xml:space="preserve"> </w:t>
      </w:r>
      <w:r w:rsidRPr="00636B4B">
        <w:rPr>
          <w:szCs w:val="20"/>
        </w:rPr>
        <w:t>Rabb</w:t>
      </w:r>
      <w:r w:rsidR="0050570A">
        <w:rPr>
          <w:szCs w:val="20"/>
        </w:rPr>
        <w:t>a</w:t>
      </w:r>
      <w:r w:rsidRPr="00636B4B">
        <w:rPr>
          <w:szCs w:val="20"/>
        </w:rPr>
        <w:t>ni</w:t>
      </w:r>
      <w:r w:rsidR="0050570A">
        <w:rPr>
          <w:rStyle w:val="FootnoteReference"/>
          <w:szCs w:val="20"/>
        </w:rPr>
        <w:footnoteReference w:id="2"/>
      </w:r>
    </w:p>
    <w:p w14:paraId="2BA0098F" w14:textId="77777777" w:rsidR="00636B4B" w:rsidRPr="00636B4B" w:rsidRDefault="0050570A" w:rsidP="0050570A">
      <w:pPr>
        <w:jc w:val="right"/>
        <w:rPr>
          <w:szCs w:val="20"/>
        </w:rPr>
      </w:pPr>
      <w:r>
        <w:rPr>
          <w:szCs w:val="20"/>
        </w:rPr>
        <w:t>D</w:t>
      </w:r>
      <w:r w:rsidR="00636B4B" w:rsidRPr="00636B4B">
        <w:rPr>
          <w:szCs w:val="20"/>
        </w:rPr>
        <w:t xml:space="preserve">ated </w:t>
      </w:r>
      <w:r>
        <w:rPr>
          <w:szCs w:val="20"/>
        </w:rPr>
        <w:t xml:space="preserve">14 </w:t>
      </w:r>
      <w:r w:rsidR="00636B4B" w:rsidRPr="00636B4B">
        <w:rPr>
          <w:szCs w:val="20"/>
        </w:rPr>
        <w:t>Nov</w:t>
      </w:r>
      <w:r>
        <w:rPr>
          <w:szCs w:val="20"/>
        </w:rPr>
        <w:t>ember</w:t>
      </w:r>
      <w:r w:rsidR="00636B4B" w:rsidRPr="00636B4B">
        <w:rPr>
          <w:szCs w:val="20"/>
        </w:rPr>
        <w:t xml:space="preserve"> 1935</w:t>
      </w:r>
    </w:p>
    <w:p w14:paraId="359B861F" w14:textId="562D553F" w:rsidR="00323141" w:rsidRDefault="00636B4B" w:rsidP="00323141">
      <w:pPr>
        <w:pStyle w:val="Text"/>
      </w:pPr>
      <w:r w:rsidRPr="00636B4B">
        <w:t>Concerning your question relative to the duration of the Bah</w:t>
      </w:r>
      <w:r w:rsidR="00323141" w:rsidRPr="00323141">
        <w:t>á</w:t>
      </w:r>
      <w:r w:rsidR="004B6F96">
        <w:t>’</w:t>
      </w:r>
      <w:r w:rsidR="00323141" w:rsidRPr="00323141">
        <w:t>í</w:t>
      </w:r>
      <w:r w:rsidRPr="00636B4B">
        <w:t xml:space="preserve"> dispensation</w:t>
      </w:r>
      <w:r w:rsidR="00323141">
        <w:t>.</w:t>
      </w:r>
      <w:r w:rsidR="00FC1B3A">
        <w:t xml:space="preserve"> </w:t>
      </w:r>
      <w:r w:rsidR="00323141">
        <w:t>T</w:t>
      </w:r>
      <w:r w:rsidRPr="00636B4B">
        <w:t xml:space="preserve">here is no contradiction between </w:t>
      </w:r>
      <w:r w:rsidR="00323141" w:rsidRPr="00636B4B">
        <w:t>Bah</w:t>
      </w:r>
      <w:r w:rsidR="00323141" w:rsidRPr="00323141">
        <w:t>á</w:t>
      </w:r>
      <w:r w:rsidR="004B6F96">
        <w:t>’</w:t>
      </w:r>
      <w:r w:rsidR="00323141" w:rsidRPr="00636B4B">
        <w:t>u</w:t>
      </w:r>
      <w:r w:rsidR="004B6F96">
        <w:t>’</w:t>
      </w:r>
      <w:r w:rsidR="00323141" w:rsidRPr="00636B4B">
        <w:t>ll</w:t>
      </w:r>
      <w:r w:rsidR="00323141" w:rsidRPr="00323141">
        <w:t>á</w:t>
      </w:r>
      <w:r w:rsidR="00323141" w:rsidRPr="00636B4B">
        <w:t>h</w:t>
      </w:r>
      <w:r w:rsidR="004B6F96">
        <w:t>’</w:t>
      </w:r>
      <w:r w:rsidRPr="00636B4B">
        <w:t xml:space="preserve">s statement in </w:t>
      </w:r>
      <w:r w:rsidR="00323141" w:rsidRPr="00636B4B">
        <w:t>Í</w:t>
      </w:r>
      <w:r w:rsidR="00323141">
        <w:t>q</w:t>
      </w:r>
      <w:r w:rsidR="00323141" w:rsidRPr="00323141">
        <w:t>á</w:t>
      </w:r>
      <w:r w:rsidR="00323141" w:rsidRPr="00636B4B">
        <w:t>n</w:t>
      </w:r>
      <w:r w:rsidRPr="00636B4B">
        <w:t xml:space="preserve"> about the renewal of the </w:t>
      </w:r>
      <w:r w:rsidR="00323141">
        <w:t>C</w:t>
      </w:r>
      <w:r w:rsidRPr="00636B4B">
        <w:t>ity of God once every 1</w:t>
      </w:r>
      <w:r w:rsidR="00323141">
        <w:t>,</w:t>
      </w:r>
      <w:r w:rsidRPr="00636B4B">
        <w:t>000 years</w:t>
      </w:r>
      <w:r w:rsidR="00323141">
        <w:t>,</w:t>
      </w:r>
      <w:r w:rsidRPr="00636B4B">
        <w:t xml:space="preserve"> and that of the Guardian in the </w:t>
      </w:r>
      <w:r w:rsidR="00323141">
        <w:t>“</w:t>
      </w:r>
      <w:r w:rsidRPr="00636B4B">
        <w:t>Dispensation</w:t>
      </w:r>
      <w:r w:rsidR="00323141">
        <w:t>”</w:t>
      </w:r>
      <w:r w:rsidRPr="00636B4B">
        <w:t xml:space="preserve"> to the effect that the </w:t>
      </w:r>
      <w:r w:rsidR="00323141" w:rsidRPr="00636B4B">
        <w:t>Bah</w:t>
      </w:r>
      <w:r w:rsidR="00323141" w:rsidRPr="00323141">
        <w:t>á</w:t>
      </w:r>
      <w:r w:rsidR="004B6F96">
        <w:t>’</w:t>
      </w:r>
      <w:r w:rsidR="00323141" w:rsidRPr="00323141">
        <w:t>í</w:t>
      </w:r>
      <w:r w:rsidRPr="00636B4B">
        <w:t xml:space="preserve"> cycle will extend over a period of at least 500,000 years.</w:t>
      </w:r>
      <w:r w:rsidR="00FC1B3A">
        <w:t xml:space="preserve"> </w:t>
      </w:r>
      <w:r w:rsidRPr="00636B4B">
        <w:t>The apparent contradiction is due to the confusion of the terms cycle and dispensation.</w:t>
      </w:r>
      <w:r w:rsidR="00FC1B3A">
        <w:t xml:space="preserve"> </w:t>
      </w:r>
      <w:r w:rsidRPr="00636B4B">
        <w:t>For while the dispensation of Bah</w:t>
      </w:r>
      <w:r w:rsidR="00323141" w:rsidRPr="00323141">
        <w:t>á</w:t>
      </w:r>
      <w:r w:rsidR="004B6F96">
        <w:t>’</w:t>
      </w:r>
      <w:r w:rsidRPr="00636B4B">
        <w:t>u</w:t>
      </w:r>
      <w:r w:rsidR="004B6F96">
        <w:t>’</w:t>
      </w:r>
      <w:r w:rsidRPr="00636B4B">
        <w:t>ll</w:t>
      </w:r>
      <w:r w:rsidR="00323141" w:rsidRPr="00323141">
        <w:t>á</w:t>
      </w:r>
      <w:r w:rsidRPr="00636B4B">
        <w:t>h will last for at least one thousand years, His cycle will extend still further to at least 500,000 years.</w:t>
      </w:r>
      <w:r w:rsidR="004B6F96">
        <w:rPr>
          <w:rStyle w:val="FootnoteReference"/>
        </w:rPr>
        <w:footnoteReference w:id="3"/>
      </w:r>
    </w:p>
    <w:p w14:paraId="2A751E91" w14:textId="730CC28A" w:rsidR="00323141" w:rsidRDefault="00636B4B" w:rsidP="00323141">
      <w:pPr>
        <w:pStyle w:val="Text"/>
      </w:pPr>
      <w:r w:rsidRPr="00636B4B">
        <w:t xml:space="preserve">The </w:t>
      </w:r>
      <w:r w:rsidR="00323141" w:rsidRPr="00636B4B">
        <w:t>Bah</w:t>
      </w:r>
      <w:r w:rsidR="00323141" w:rsidRPr="00323141">
        <w:t>á</w:t>
      </w:r>
      <w:r w:rsidR="004B6F96">
        <w:t>’</w:t>
      </w:r>
      <w:r w:rsidR="00323141" w:rsidRPr="00323141">
        <w:t>í</w:t>
      </w:r>
      <w:r w:rsidRPr="00636B4B">
        <w:t xml:space="preserve"> cycle is</w:t>
      </w:r>
      <w:r w:rsidR="00323141">
        <w:t>,</w:t>
      </w:r>
      <w:r w:rsidRPr="00636B4B">
        <w:t xml:space="preserve"> indeed</w:t>
      </w:r>
      <w:r w:rsidR="00323141">
        <w:t>,</w:t>
      </w:r>
      <w:r w:rsidRPr="00636B4B">
        <w:t xml:space="preserve"> incomparable in its greatness.</w:t>
      </w:r>
      <w:r w:rsidR="00FC1B3A">
        <w:t xml:space="preserve"> </w:t>
      </w:r>
      <w:r w:rsidRPr="00636B4B">
        <w:t>It includes not only the Prophets that will appear after Bah</w:t>
      </w:r>
      <w:r w:rsidR="00323141" w:rsidRPr="00323141">
        <w:t>á</w:t>
      </w:r>
      <w:r w:rsidR="004B6F96">
        <w:t>’</w:t>
      </w:r>
      <w:r w:rsidRPr="00636B4B">
        <w:t>u</w:t>
      </w:r>
      <w:r w:rsidR="004B6F96">
        <w:t>’</w:t>
      </w:r>
      <w:r w:rsidRPr="00636B4B">
        <w:t>ll</w:t>
      </w:r>
      <w:r w:rsidR="00323141" w:rsidRPr="00323141">
        <w:t>á</w:t>
      </w:r>
      <w:r w:rsidRPr="00636B4B">
        <w:t>h, but all those who have preceded Him ever since Adam.</w:t>
      </w:r>
      <w:r w:rsidR="00FC1B3A">
        <w:t xml:space="preserve"> </w:t>
      </w:r>
      <w:r w:rsidRPr="00636B4B">
        <w:t>These should</w:t>
      </w:r>
      <w:r w:rsidR="00323141">
        <w:t>,</w:t>
      </w:r>
      <w:r w:rsidRPr="00636B4B">
        <w:t xml:space="preserve"> indeed</w:t>
      </w:r>
      <w:r w:rsidR="00323141">
        <w:t>,</w:t>
      </w:r>
      <w:r w:rsidRPr="00636B4B">
        <w:t xml:space="preserve"> be viewed as constituting but primary stage leading gradually to the appearance of this supreme </w:t>
      </w:r>
      <w:r w:rsidR="00323141">
        <w:t>M</w:t>
      </w:r>
      <w:r w:rsidRPr="00636B4B">
        <w:t>anifestation of God.</w:t>
      </w:r>
      <w:r w:rsidR="004B6F96">
        <w:rPr>
          <w:rStyle w:val="FootnoteReference"/>
        </w:rPr>
        <w:footnoteReference w:id="4"/>
      </w:r>
    </w:p>
    <w:p w14:paraId="6A226934" w14:textId="7C8DA26E" w:rsidR="00323141" w:rsidRDefault="00323141" w:rsidP="004B6F96">
      <w:pPr>
        <w:pStyle w:val="Text"/>
      </w:pPr>
      <w:r>
        <w:t>After Bahá</w:t>
      </w:r>
      <w:r w:rsidR="004B6F96">
        <w:t>’</w:t>
      </w:r>
      <w:r>
        <w:t>u</w:t>
      </w:r>
      <w:r w:rsidR="004B6F96">
        <w:t>’</w:t>
      </w:r>
      <w:r>
        <w:t>lláh many Prophets will, no doubt, appear but they will be under His Shadow.</w:t>
      </w:r>
      <w:r w:rsidR="00FC1B3A">
        <w:t xml:space="preserve"> </w:t>
      </w:r>
      <w:r>
        <w:t>Although they may abrogate the laws of this Dispensation in accordance with the needs and requirements of the age in which they appear, they nevertheless draw their spiritual force from this mighty Revelation.</w:t>
      </w:r>
      <w:r w:rsidR="00FC1B3A">
        <w:t xml:space="preserve"> </w:t>
      </w:r>
      <w:r>
        <w:t>The Faith of Bahá</w:t>
      </w:r>
      <w:r w:rsidR="004B6F96">
        <w:t>’</w:t>
      </w:r>
      <w:r>
        <w:t>u</w:t>
      </w:r>
      <w:r w:rsidR="004B6F96">
        <w:t>’</w:t>
      </w:r>
      <w:r>
        <w:t>lláh constitutes, indeed, the stage of maturity in the development of mankind.</w:t>
      </w:r>
      <w:r w:rsidR="00FC1B3A">
        <w:t xml:space="preserve"> </w:t>
      </w:r>
      <w:r>
        <w:t>His appearance has released such spiritual forces which will continue to animate, for many long years to come, the world in its development.</w:t>
      </w:r>
      <w:r w:rsidR="00FC1B3A">
        <w:t xml:space="preserve"> </w:t>
      </w:r>
      <w:r>
        <w:t>Whatever progress may be achieved, in later ages, after the unification of the whole human race is achieved, will be but improvement in the machinery of the world.</w:t>
      </w:r>
      <w:r w:rsidR="00FC1B3A">
        <w:t xml:space="preserve"> </w:t>
      </w:r>
      <w:r>
        <w:t>For the machinery itself has been already created by Bahá</w:t>
      </w:r>
      <w:r w:rsidR="004B6F96">
        <w:t>’</w:t>
      </w:r>
      <w:r>
        <w:t>u</w:t>
      </w:r>
      <w:r w:rsidR="004B6F96">
        <w:t>’</w:t>
      </w:r>
      <w:r>
        <w:t>lláh.</w:t>
      </w:r>
      <w:r w:rsidR="00FC1B3A">
        <w:t xml:space="preserve"> </w:t>
      </w:r>
      <w:r>
        <w:t>The task of continually improving and perfecting this machinery is one which later Prophets will be called upon to achieve.</w:t>
      </w:r>
      <w:r w:rsidR="00FC1B3A">
        <w:t xml:space="preserve"> </w:t>
      </w:r>
      <w:r>
        <w:t>They will thus move and work within the orbit of the Bahá</w:t>
      </w:r>
      <w:r w:rsidR="004B6F96">
        <w:t>’</w:t>
      </w:r>
      <w:r>
        <w:t>í Cycle.</w:t>
      </w:r>
      <w:r w:rsidR="004B6F96">
        <w:rPr>
          <w:rStyle w:val="FootnoteReference"/>
        </w:rPr>
        <w:footnoteReference w:id="5"/>
      </w:r>
    </w:p>
    <w:p w14:paraId="452AE980" w14:textId="77777777" w:rsidR="00636B4B" w:rsidRPr="00636B4B" w:rsidRDefault="00636B4B" w:rsidP="00636B4B">
      <w:pPr>
        <w:rPr>
          <w:szCs w:val="20"/>
        </w:rPr>
      </w:pPr>
      <w:bookmarkStart w:id="0" w:name="_GoBack"/>
      <w:bookmarkEnd w:id="0"/>
    </w:p>
    <w:sectPr w:rsidR="00636B4B" w:rsidRPr="00636B4B" w:rsidSect="000A103E">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6DB75" w14:textId="77777777" w:rsidR="00A07A65" w:rsidRDefault="00A07A65" w:rsidP="00E41271">
      <w:r>
        <w:separator/>
      </w:r>
    </w:p>
  </w:endnote>
  <w:endnote w:type="continuationSeparator" w:id="0">
    <w:p w14:paraId="5D29D624" w14:textId="77777777" w:rsidR="00A07A65" w:rsidRDefault="00A07A65"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A5C6" w14:textId="77777777" w:rsidR="00A07A65" w:rsidRDefault="00A07A65" w:rsidP="00E41271">
      <w:r>
        <w:separator/>
      </w:r>
    </w:p>
  </w:footnote>
  <w:footnote w:type="continuationSeparator" w:id="0">
    <w:p w14:paraId="1D231A3A" w14:textId="77777777" w:rsidR="00A07A65" w:rsidRDefault="00A07A65" w:rsidP="00E41271">
      <w:r>
        <w:continuationSeparator/>
      </w:r>
    </w:p>
  </w:footnote>
  <w:footnote w:id="1">
    <w:p w14:paraId="6B606432" w14:textId="029EE2B3" w:rsidR="00DA1304" w:rsidRPr="006240FC" w:rsidRDefault="00DA1304" w:rsidP="00DA1304">
      <w:pPr>
        <w:pStyle w:val="FootnoteText"/>
        <w:ind w:left="288" w:right="-288" w:hanging="288"/>
        <w:jc w:val="left"/>
      </w:pPr>
      <w:r>
        <w:rPr>
          <w:rStyle w:val="FootnoteReference"/>
          <w:rFonts w:hint="eastAsia"/>
        </w:rPr>
        <w:footnoteRef/>
      </w:r>
      <w:r>
        <w:tab/>
      </w:r>
      <w:r w:rsidRPr="006240FC">
        <w:t>This document is from the Emma Maxie Jones Collection, https://bahai-library.com/emma_maxwell_jones_collection</w:t>
      </w:r>
      <w:r w:rsidRPr="006240FC">
        <w:rPr>
          <w:iCs w:val="0"/>
          <w:spacing w:val="-20"/>
        </w:rPr>
        <w:t xml:space="preserve"> </w:t>
      </w:r>
      <w:r w:rsidRPr="006240FC">
        <w:t>, prepared by E. Jones, M. Thomas, and J. Winters (2021-2022). Transcribed with minor typographical and spelling corrections from scanned photographic image of typewritten copy. Newer copies used where available.</w:t>
      </w:r>
    </w:p>
  </w:footnote>
  <w:footnote w:id="2">
    <w:p w14:paraId="1405DAE7" w14:textId="77777777" w:rsidR="0050570A" w:rsidRDefault="0050570A" w:rsidP="004B6F96">
      <w:pPr>
        <w:pStyle w:val="FootnoteText"/>
      </w:pPr>
      <w:r>
        <w:rPr>
          <w:rStyle w:val="FootnoteReference"/>
        </w:rPr>
        <w:footnoteRef/>
      </w:r>
      <w:r>
        <w:tab/>
      </w:r>
      <w:r w:rsidRPr="0050570A">
        <w:t>Ḥ</w:t>
      </w:r>
      <w:r>
        <w:t>usayn Rabb</w:t>
      </w:r>
      <w:r w:rsidRPr="0050570A">
        <w:t>á</w:t>
      </w:r>
      <w:r>
        <w:t>n</w:t>
      </w:r>
      <w:r w:rsidRPr="0050570A">
        <w:t>í</w:t>
      </w:r>
      <w:r>
        <w:t>, brother of Shoghi Effendi.</w:t>
      </w:r>
    </w:p>
  </w:footnote>
  <w:footnote w:id="3">
    <w:p w14:paraId="3FAB90E2" w14:textId="77777777" w:rsidR="004B6F96" w:rsidRDefault="004B6F96" w:rsidP="004B6F96">
      <w:pPr>
        <w:pStyle w:val="FootnoteText"/>
      </w:pPr>
      <w:r>
        <w:rPr>
          <w:rStyle w:val="FootnoteReference"/>
        </w:rPr>
        <w:footnoteRef/>
      </w:r>
      <w:r>
        <w:tab/>
        <w:t xml:space="preserve">Shoghi Effendi, </w:t>
      </w:r>
      <w:r w:rsidRPr="004B6F96">
        <w:rPr>
          <w:i/>
          <w:iCs w:val="0"/>
        </w:rPr>
        <w:t>Directives from the Guardian</w:t>
      </w:r>
      <w:r>
        <w:t>, p. 7.</w:t>
      </w:r>
    </w:p>
  </w:footnote>
  <w:footnote w:id="4">
    <w:p w14:paraId="33E1F416" w14:textId="77777777" w:rsidR="004B6F96" w:rsidRDefault="004B6F96" w:rsidP="004B6F96">
      <w:pPr>
        <w:pStyle w:val="FootnoteText"/>
      </w:pPr>
      <w:r>
        <w:rPr>
          <w:rStyle w:val="FootnoteReference"/>
        </w:rPr>
        <w:footnoteRef/>
      </w:r>
      <w:r>
        <w:tab/>
        <w:t>idem, pp. 7–8.</w:t>
      </w:r>
    </w:p>
  </w:footnote>
  <w:footnote w:id="5">
    <w:p w14:paraId="7E5DBC7E" w14:textId="77777777" w:rsidR="004B6F96" w:rsidRDefault="004B6F96" w:rsidP="004B6F96">
      <w:pPr>
        <w:pStyle w:val="FootnoteText"/>
      </w:pPr>
      <w:r>
        <w:rPr>
          <w:rStyle w:val="FootnoteReference"/>
        </w:rPr>
        <w:footnoteRef/>
      </w:r>
      <w:r>
        <w:tab/>
        <w:t>idem, pp. 61–2.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4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03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911"/>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141"/>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6F96"/>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70A"/>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0FC"/>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6B4B"/>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A65"/>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304"/>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1B3A"/>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2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36B4B"/>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36B4B"/>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2022-01-03T00:21:00Z</dcterms:created>
  <dcterms:modified xsi:type="dcterms:W3CDTF">2022-01-16T04:05:00Z</dcterms:modified>
</cp:coreProperties>
</file>